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2A2D4C">
      <w:pPr>
        <w:spacing w:line="360" w:lineRule="auto"/>
        <w:jc w:val="center"/>
        <w:rPr>
          <w:rFonts w:hint="eastAsia" w:ascii="宋体" w:hAnsi="宋体" w:eastAsia="宋体" w:cs="宋体"/>
          <w:b/>
          <w:color w:val="auto"/>
          <w:sz w:val="72"/>
          <w:highlight w:val="none"/>
        </w:rPr>
      </w:pPr>
      <w:bookmarkStart w:id="49" w:name="_GoBack"/>
    </w:p>
    <w:p w14:paraId="276C2C7C">
      <w:pPr>
        <w:spacing w:line="360" w:lineRule="auto"/>
        <w:jc w:val="center"/>
        <w:rPr>
          <w:rFonts w:hint="eastAsia" w:ascii="宋体" w:hAnsi="宋体" w:eastAsia="宋体" w:cs="宋体"/>
          <w:b/>
          <w:color w:val="auto"/>
          <w:sz w:val="72"/>
          <w:highlight w:val="none"/>
          <w:lang w:val="en-US" w:eastAsia="zh-CN"/>
        </w:rPr>
      </w:pPr>
      <w:r>
        <w:rPr>
          <w:rFonts w:hint="eastAsia" w:ascii="宋体" w:hAnsi="宋体" w:eastAsia="宋体" w:cs="宋体"/>
          <w:b/>
          <w:color w:val="auto"/>
          <w:sz w:val="72"/>
          <w:highlight w:val="none"/>
          <w:lang w:val="en-US" w:eastAsia="zh-CN"/>
        </w:rPr>
        <w:t>竞 争 性 磋 商</w:t>
      </w:r>
    </w:p>
    <w:p w14:paraId="140DA72C">
      <w:pPr>
        <w:spacing w:line="360" w:lineRule="auto"/>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lang w:val="en-US" w:eastAsia="zh-CN"/>
        </w:rPr>
        <w:t>采 购</w:t>
      </w:r>
      <w:r>
        <w:rPr>
          <w:rFonts w:hint="eastAsia" w:ascii="宋体" w:hAnsi="宋体" w:eastAsia="宋体" w:cs="宋体"/>
          <w:b/>
          <w:color w:val="auto"/>
          <w:sz w:val="72"/>
          <w:highlight w:val="none"/>
        </w:rPr>
        <w:t xml:space="preserve"> 文 件</w:t>
      </w:r>
    </w:p>
    <w:p w14:paraId="09E7D431">
      <w:pPr>
        <w:spacing w:line="360" w:lineRule="auto"/>
        <w:jc w:val="center"/>
        <w:rPr>
          <w:rFonts w:hint="eastAsia" w:ascii="宋体" w:hAnsi="宋体" w:eastAsia="宋体" w:cs="宋体"/>
          <w:color w:val="auto"/>
          <w:highlight w:val="none"/>
        </w:rPr>
      </w:pPr>
    </w:p>
    <w:p w14:paraId="6098FD03">
      <w:pPr>
        <w:tabs>
          <w:tab w:val="left" w:pos="3570"/>
        </w:tabs>
        <w:spacing w:line="360" w:lineRule="auto"/>
        <w:ind w:firstLine="630"/>
        <w:rPr>
          <w:rFonts w:hint="eastAsia" w:ascii="宋体" w:hAnsi="宋体" w:eastAsia="宋体" w:cs="宋体"/>
          <w:color w:val="auto"/>
          <w:highlight w:val="none"/>
        </w:rPr>
      </w:pPr>
      <w:r>
        <w:rPr>
          <w:rFonts w:hint="eastAsia" w:ascii="宋体" w:hAnsi="宋体" w:eastAsia="宋体" w:cs="宋体"/>
          <w:color w:val="auto"/>
          <w:highlight w:val="none"/>
        </w:rPr>
        <w:tab/>
      </w:r>
    </w:p>
    <w:p w14:paraId="79665CC9">
      <w:pPr>
        <w:spacing w:line="360" w:lineRule="auto"/>
        <w:ind w:firstLine="630"/>
        <w:rPr>
          <w:rFonts w:hint="eastAsia" w:ascii="宋体" w:hAnsi="宋体" w:eastAsia="宋体" w:cs="宋体"/>
          <w:color w:val="auto"/>
          <w:highlight w:val="none"/>
        </w:rPr>
      </w:pPr>
    </w:p>
    <w:p w14:paraId="78A48FEB">
      <w:pPr>
        <w:spacing w:line="360" w:lineRule="auto"/>
        <w:ind w:right="1280"/>
        <w:rPr>
          <w:rFonts w:hint="eastAsia" w:ascii="宋体" w:hAnsi="宋体" w:eastAsia="宋体" w:cs="宋体"/>
          <w:color w:val="auto"/>
          <w:sz w:val="32"/>
          <w:highlight w:val="none"/>
        </w:rPr>
      </w:pPr>
    </w:p>
    <w:p w14:paraId="73A3B2BA">
      <w:pPr>
        <w:spacing w:line="360" w:lineRule="auto"/>
        <w:ind w:firstLine="1084"/>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采购编号</w:t>
      </w:r>
      <w:r>
        <w:rPr>
          <w:rFonts w:hint="eastAsia" w:ascii="宋体" w:hAnsi="宋体" w:eastAsia="宋体" w:cs="宋体"/>
          <w:b/>
          <w:color w:val="auto"/>
          <w:sz w:val="36"/>
          <w:szCs w:val="36"/>
          <w:highlight w:val="none"/>
        </w:rPr>
        <w:t>：</w:t>
      </w:r>
      <w:r>
        <w:rPr>
          <w:rFonts w:hint="eastAsia" w:ascii="宋体" w:hAnsi="宋体" w:eastAsia="宋体" w:cs="宋体"/>
          <w:b/>
          <w:color w:val="auto"/>
          <w:sz w:val="36"/>
          <w:szCs w:val="36"/>
          <w:highlight w:val="none"/>
          <w:lang w:eastAsia="zh-CN"/>
        </w:rPr>
        <w:t>JSZC-320585-FYWL-C2025-0023</w:t>
      </w:r>
    </w:p>
    <w:p w14:paraId="3757C9B9">
      <w:pPr>
        <w:spacing w:line="360" w:lineRule="auto"/>
        <w:ind w:firstLine="1084"/>
        <w:rPr>
          <w:rFonts w:hint="eastAsia" w:ascii="宋体" w:hAnsi="宋体" w:eastAsia="宋体" w:cs="宋体"/>
          <w:b/>
          <w:color w:val="auto"/>
          <w:sz w:val="32"/>
          <w:szCs w:val="36"/>
          <w:highlight w:val="none"/>
          <w:lang w:eastAsia="zh-CN"/>
        </w:rPr>
      </w:pPr>
      <w:r>
        <w:rPr>
          <w:rFonts w:hint="eastAsia" w:ascii="宋体" w:hAnsi="宋体" w:eastAsia="宋体" w:cs="宋体"/>
          <w:b/>
          <w:color w:val="auto"/>
          <w:sz w:val="36"/>
          <w:szCs w:val="36"/>
          <w:highlight w:val="none"/>
        </w:rPr>
        <w:t>项目名称：</w:t>
      </w:r>
      <w:r>
        <w:rPr>
          <w:rFonts w:hint="eastAsia" w:ascii="宋体" w:hAnsi="宋体" w:eastAsia="宋体" w:cs="宋体"/>
          <w:b/>
          <w:color w:val="auto"/>
          <w:sz w:val="36"/>
          <w:szCs w:val="36"/>
          <w:highlight w:val="none"/>
          <w:lang w:eastAsia="zh-CN"/>
        </w:rPr>
        <w:t>恒通佳苑消防改造项目</w:t>
      </w:r>
    </w:p>
    <w:p w14:paraId="420694B4">
      <w:pPr>
        <w:spacing w:line="360" w:lineRule="auto"/>
        <w:ind w:firstLine="1084"/>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采购单位：</w:t>
      </w:r>
      <w:r>
        <w:rPr>
          <w:rFonts w:hint="eastAsia" w:ascii="宋体" w:hAnsi="宋体" w:eastAsia="宋体" w:cs="宋体"/>
          <w:b/>
          <w:color w:val="auto"/>
          <w:sz w:val="36"/>
          <w:szCs w:val="36"/>
          <w:highlight w:val="none"/>
          <w:lang w:eastAsia="zh-CN"/>
        </w:rPr>
        <w:t>太仓市人民政府陆渡街道办事处</w:t>
      </w:r>
    </w:p>
    <w:p w14:paraId="32403622">
      <w:pPr>
        <w:spacing w:line="360" w:lineRule="auto"/>
        <w:ind w:firstLine="1084"/>
        <w:rPr>
          <w:rFonts w:hint="eastAsia" w:ascii="宋体" w:hAnsi="宋体" w:eastAsia="宋体" w:cs="宋体"/>
          <w:b/>
          <w:color w:val="auto"/>
          <w:sz w:val="36"/>
          <w:szCs w:val="36"/>
          <w:highlight w:val="none"/>
          <w:lang w:val="en-US"/>
        </w:rPr>
      </w:pPr>
      <w:r>
        <w:rPr>
          <w:rFonts w:hint="eastAsia" w:ascii="宋体" w:hAnsi="宋体" w:eastAsia="宋体" w:cs="宋体"/>
          <w:b/>
          <w:color w:val="auto"/>
          <w:sz w:val="36"/>
          <w:szCs w:val="36"/>
          <w:highlight w:val="none"/>
        </w:rPr>
        <w:t>采购项目类别：</w:t>
      </w:r>
      <w:r>
        <w:rPr>
          <w:rFonts w:hint="eastAsia" w:ascii="宋体" w:hAnsi="宋体" w:eastAsia="宋体" w:cs="宋体"/>
          <w:b/>
          <w:color w:val="auto"/>
          <w:sz w:val="36"/>
          <w:szCs w:val="36"/>
          <w:highlight w:val="none"/>
          <w:lang w:val="en-US" w:eastAsia="zh-CN"/>
        </w:rPr>
        <w:t>工程类</w:t>
      </w:r>
    </w:p>
    <w:p w14:paraId="6622D1DF">
      <w:pPr>
        <w:spacing w:line="360" w:lineRule="auto"/>
        <w:ind w:firstLine="108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标的所属行业：</w:t>
      </w:r>
      <w:r>
        <w:rPr>
          <w:rFonts w:hint="eastAsia" w:ascii="宋体" w:hAnsi="宋体" w:eastAsia="宋体" w:cs="宋体"/>
          <w:b/>
          <w:color w:val="auto"/>
          <w:sz w:val="36"/>
          <w:szCs w:val="36"/>
          <w:highlight w:val="none"/>
          <w:lang w:eastAsia="zh-CN"/>
        </w:rPr>
        <w:t>（三）</w:t>
      </w:r>
      <w:r>
        <w:rPr>
          <w:rFonts w:hint="eastAsia" w:ascii="宋体" w:hAnsi="宋体" w:eastAsia="宋体" w:cs="宋体"/>
          <w:b/>
          <w:color w:val="auto"/>
          <w:sz w:val="32"/>
          <w:szCs w:val="32"/>
          <w:highlight w:val="none"/>
          <w:lang w:val="en-US" w:eastAsia="zh-CN"/>
        </w:rPr>
        <w:t>建筑业</w:t>
      </w:r>
      <w:r>
        <w:rPr>
          <w:rFonts w:hint="eastAsia" w:ascii="宋体" w:hAnsi="宋体" w:eastAsia="宋体" w:cs="宋体"/>
          <w:b/>
          <w:color w:val="auto"/>
          <w:sz w:val="36"/>
          <w:szCs w:val="36"/>
          <w:highlight w:val="none"/>
        </w:rPr>
        <w:t xml:space="preserve"> </w:t>
      </w:r>
    </w:p>
    <w:p w14:paraId="5B10B8B2">
      <w:pPr>
        <w:pStyle w:val="25"/>
        <w:ind w:firstLine="0"/>
        <w:rPr>
          <w:rFonts w:hint="eastAsia" w:ascii="宋体" w:hAnsi="宋体" w:eastAsia="宋体" w:cs="宋体"/>
          <w:color w:val="auto"/>
          <w:highlight w:val="none"/>
        </w:rPr>
      </w:pPr>
    </w:p>
    <w:p w14:paraId="41A79A1C">
      <w:pPr>
        <w:pStyle w:val="25"/>
        <w:ind w:firstLine="0"/>
        <w:rPr>
          <w:rFonts w:hint="eastAsia" w:ascii="宋体" w:hAnsi="宋体" w:eastAsia="宋体" w:cs="宋体"/>
          <w:color w:val="auto"/>
          <w:highlight w:val="none"/>
        </w:rPr>
      </w:pPr>
    </w:p>
    <w:p w14:paraId="21727A64">
      <w:pPr>
        <w:pStyle w:val="65"/>
        <w:rPr>
          <w:rFonts w:hint="eastAsia" w:ascii="宋体" w:hAnsi="宋体" w:eastAsia="宋体" w:cs="宋体"/>
          <w:color w:val="auto"/>
          <w:highlight w:val="none"/>
        </w:rPr>
      </w:pPr>
    </w:p>
    <w:p w14:paraId="60B89573">
      <w:pPr>
        <w:pStyle w:val="65"/>
        <w:rPr>
          <w:rFonts w:hint="eastAsia" w:ascii="宋体" w:hAnsi="宋体" w:eastAsia="宋体" w:cs="宋体"/>
          <w:color w:val="auto"/>
          <w:highlight w:val="none"/>
        </w:rPr>
      </w:pPr>
    </w:p>
    <w:p w14:paraId="4918DA34">
      <w:pPr>
        <w:pStyle w:val="25"/>
        <w:rPr>
          <w:rFonts w:hint="eastAsia" w:ascii="宋体" w:hAnsi="宋体" w:eastAsia="宋体" w:cs="宋体"/>
          <w:color w:val="auto"/>
          <w:highlight w:val="none"/>
        </w:rPr>
      </w:pPr>
    </w:p>
    <w:p w14:paraId="0CC78331">
      <w:pPr>
        <w:spacing w:line="360" w:lineRule="auto"/>
        <w:jc w:val="center"/>
        <w:rPr>
          <w:rFonts w:hint="eastAsia" w:ascii="宋体" w:hAnsi="宋体" w:eastAsia="宋体" w:cs="宋体"/>
          <w:color w:val="auto"/>
          <w:sz w:val="36"/>
          <w:szCs w:val="36"/>
          <w:highlight w:val="none"/>
          <w:lang w:eastAsia="zh-CN"/>
        </w:rPr>
      </w:pPr>
      <w:r>
        <w:rPr>
          <w:rFonts w:hint="eastAsia" w:ascii="宋体" w:hAnsi="宋体" w:eastAsia="宋体" w:cs="宋体"/>
          <w:color w:val="auto"/>
          <w:sz w:val="44"/>
          <w:szCs w:val="44"/>
          <w:highlight w:val="none"/>
        </w:rPr>
        <w:t xml:space="preserve"> </w:t>
      </w:r>
      <w:r>
        <w:rPr>
          <w:rFonts w:hint="eastAsia" w:ascii="宋体" w:hAnsi="宋体" w:eastAsia="宋体" w:cs="宋体"/>
          <w:color w:val="auto"/>
          <w:sz w:val="36"/>
          <w:szCs w:val="36"/>
          <w:highlight w:val="none"/>
          <w:lang w:eastAsia="zh-CN"/>
        </w:rPr>
        <w:t>苏州泛亚万隆建设工程咨询有限公司</w:t>
      </w:r>
    </w:p>
    <w:p w14:paraId="6EB179D1">
      <w:pPr>
        <w:spacing w:before="305" w:line="360" w:lineRule="auto"/>
        <w:jc w:val="center"/>
        <w:rPr>
          <w:rFonts w:hint="eastAsia" w:ascii="宋体" w:hAnsi="宋体" w:eastAsia="宋体" w:cs="宋体"/>
          <w:color w:val="auto"/>
          <w:sz w:val="36"/>
          <w:szCs w:val="36"/>
          <w:highlight w:val="none"/>
        </w:rPr>
        <w:sectPr>
          <w:footerReference r:id="rId3" w:type="first"/>
          <w:pgSz w:w="11906" w:h="16838"/>
          <w:pgMar w:top="1157" w:right="1236" w:bottom="1157" w:left="1236" w:header="851" w:footer="992" w:gutter="0"/>
          <w:cols w:space="425" w:num="1"/>
          <w:docGrid w:linePitch="360" w:charSpace="0"/>
        </w:sectPr>
      </w:pPr>
      <w:r>
        <w:rPr>
          <w:rFonts w:hint="eastAsia" w:ascii="宋体" w:hAnsi="宋体" w:eastAsia="宋体" w:cs="宋体"/>
          <w:color w:val="auto"/>
          <w:sz w:val="36"/>
          <w:szCs w:val="36"/>
          <w:highlight w:val="none"/>
        </w:rPr>
        <w:t>2</w:t>
      </w:r>
      <w:r>
        <w:rPr>
          <w:rFonts w:hint="eastAsia" w:ascii="宋体" w:hAnsi="宋体" w:eastAsia="宋体" w:cs="宋体"/>
          <w:color w:val="auto"/>
          <w:sz w:val="36"/>
          <w:szCs w:val="36"/>
          <w:highlight w:val="none"/>
        </w:rPr>
        <w:t>02</w:t>
      </w:r>
      <w:r>
        <w:rPr>
          <w:rFonts w:hint="eastAsia" w:ascii="宋体" w:hAnsi="宋体" w:eastAsia="宋体" w:cs="宋体"/>
          <w:color w:val="auto"/>
          <w:sz w:val="36"/>
          <w:szCs w:val="36"/>
          <w:highlight w:val="none"/>
          <w:lang w:val="en-US" w:eastAsia="zh-CN"/>
        </w:rPr>
        <w:t>5</w:t>
      </w:r>
      <w:r>
        <w:rPr>
          <w:rFonts w:hint="eastAsia" w:ascii="宋体" w:hAnsi="宋体" w:eastAsia="宋体" w:cs="宋体"/>
          <w:color w:val="auto"/>
          <w:sz w:val="36"/>
          <w:szCs w:val="36"/>
          <w:highlight w:val="none"/>
        </w:rPr>
        <w:t>年</w:t>
      </w:r>
      <w:r>
        <w:rPr>
          <w:rFonts w:hint="eastAsia" w:ascii="宋体" w:hAnsi="宋体" w:eastAsia="宋体" w:cs="宋体"/>
          <w:color w:val="auto"/>
          <w:sz w:val="36"/>
          <w:szCs w:val="36"/>
          <w:highlight w:val="none"/>
          <w:lang w:val="en-US" w:eastAsia="zh-CN"/>
        </w:rPr>
        <w:t>11</w:t>
      </w:r>
      <w:r>
        <w:rPr>
          <w:rFonts w:hint="eastAsia" w:ascii="宋体" w:hAnsi="宋体" w:eastAsia="宋体" w:cs="宋体"/>
          <w:color w:val="auto"/>
          <w:sz w:val="36"/>
          <w:szCs w:val="36"/>
          <w:highlight w:val="none"/>
        </w:rPr>
        <w:t>月</w:t>
      </w:r>
      <w:bookmarkStart w:id="0" w:name="_Toc158691765"/>
    </w:p>
    <w:p w14:paraId="252E3823">
      <w:pPr>
        <w:spacing w:before="305" w:line="360" w:lineRule="auto"/>
        <w:jc w:val="center"/>
        <w:rPr>
          <w:rFonts w:hint="eastAsia" w:ascii="宋体" w:hAnsi="宋体" w:eastAsia="宋体" w:cs="宋体"/>
          <w:color w:val="auto"/>
          <w:sz w:val="44"/>
          <w:szCs w:val="44"/>
          <w:highlight w:val="none"/>
        </w:rPr>
      </w:pPr>
      <w:r>
        <w:rPr>
          <w:rFonts w:hint="eastAsia" w:ascii="宋体" w:hAnsi="宋体" w:eastAsia="宋体" w:cs="宋体"/>
          <w:b/>
          <w:color w:val="auto"/>
          <w:sz w:val="36"/>
          <w:szCs w:val="36"/>
          <w:highlight w:val="none"/>
        </w:rPr>
        <w:t>目   录</w:t>
      </w:r>
    </w:p>
    <w:p w14:paraId="761ED0E9">
      <w:pPr>
        <w:spacing w:line="360" w:lineRule="auto"/>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第一部分：</w:t>
      </w:r>
      <w:r>
        <w:rPr>
          <w:rFonts w:hint="eastAsia" w:ascii="宋体" w:hAnsi="宋体" w:eastAsia="宋体" w:cs="宋体"/>
          <w:color w:val="auto"/>
          <w:sz w:val="30"/>
          <w:szCs w:val="30"/>
          <w:highlight w:val="none"/>
          <w:lang w:val="en-US" w:eastAsia="zh-CN"/>
        </w:rPr>
        <w:t>采购</w:t>
      </w:r>
      <w:r>
        <w:rPr>
          <w:rFonts w:hint="eastAsia" w:ascii="宋体" w:hAnsi="宋体" w:eastAsia="宋体" w:cs="宋体"/>
          <w:color w:val="auto"/>
          <w:sz w:val="30"/>
          <w:szCs w:val="30"/>
          <w:highlight w:val="none"/>
        </w:rPr>
        <w:t>公告</w:t>
      </w:r>
    </w:p>
    <w:p w14:paraId="751CCDB9">
      <w:pPr>
        <w:spacing w:line="360" w:lineRule="auto"/>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第二部分：</w:t>
      </w:r>
      <w:r>
        <w:rPr>
          <w:rFonts w:hint="eastAsia" w:ascii="宋体" w:hAnsi="宋体" w:eastAsia="宋体" w:cs="宋体"/>
          <w:color w:val="auto"/>
          <w:sz w:val="32"/>
          <w:szCs w:val="32"/>
          <w:highlight w:val="none"/>
        </w:rPr>
        <w:t>供应商须知</w:t>
      </w:r>
    </w:p>
    <w:p w14:paraId="7AA62221">
      <w:pPr>
        <w:spacing w:line="360" w:lineRule="auto"/>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第三部分：采购需求</w:t>
      </w:r>
    </w:p>
    <w:p w14:paraId="287112F2">
      <w:pPr>
        <w:spacing w:line="360" w:lineRule="auto"/>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第四部分：响应文件格式</w:t>
      </w:r>
    </w:p>
    <w:p w14:paraId="49A7AD74">
      <w:pPr>
        <w:spacing w:line="360" w:lineRule="auto"/>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第五部分：磋商成交原则及评分标准</w:t>
      </w:r>
    </w:p>
    <w:p w14:paraId="63DD2C31">
      <w:pPr>
        <w:spacing w:line="360" w:lineRule="auto"/>
        <w:ind w:firstLine="600"/>
        <w:rPr>
          <w:rFonts w:hint="eastAsia" w:ascii="宋体" w:hAnsi="宋体" w:eastAsia="宋体" w:cs="宋体"/>
          <w:b/>
          <w:color w:val="auto"/>
          <w:sz w:val="24"/>
          <w:szCs w:val="24"/>
          <w:highlight w:val="none"/>
        </w:rPr>
      </w:pPr>
      <w:r>
        <w:rPr>
          <w:rFonts w:hint="eastAsia" w:ascii="宋体" w:hAnsi="宋体" w:eastAsia="宋体" w:cs="宋体"/>
          <w:color w:val="auto"/>
          <w:sz w:val="30"/>
          <w:szCs w:val="30"/>
          <w:highlight w:val="none"/>
        </w:rPr>
        <w:t>第六部分：合同主要条款</w:t>
      </w:r>
    </w:p>
    <w:p w14:paraId="316DF02A">
      <w:pPr>
        <w:pStyle w:val="259"/>
        <w:rPr>
          <w:rFonts w:hint="eastAsia" w:ascii="宋体" w:hAnsi="宋体" w:eastAsia="宋体" w:cs="宋体"/>
          <w:color w:val="auto"/>
          <w:szCs w:val="24"/>
          <w:highlight w:val="none"/>
        </w:rPr>
      </w:pPr>
      <w:bookmarkStart w:id="1" w:name="_Toc315868049"/>
      <w:bookmarkStart w:id="2" w:name="_Toc467507028"/>
      <w:bookmarkStart w:id="3" w:name="_Toc315875312"/>
    </w:p>
    <w:p w14:paraId="0C353FDD">
      <w:pPr>
        <w:pStyle w:val="259"/>
        <w:rPr>
          <w:rFonts w:hint="eastAsia" w:ascii="宋体" w:hAnsi="宋体" w:eastAsia="宋体" w:cs="宋体"/>
          <w:color w:val="auto"/>
          <w:szCs w:val="24"/>
          <w:highlight w:val="none"/>
        </w:rPr>
      </w:pPr>
    </w:p>
    <w:p w14:paraId="13FCC303">
      <w:pPr>
        <w:pStyle w:val="259"/>
        <w:rPr>
          <w:rFonts w:hint="eastAsia" w:ascii="宋体" w:hAnsi="宋体" w:eastAsia="宋体" w:cs="宋体"/>
          <w:color w:val="auto"/>
          <w:szCs w:val="24"/>
          <w:highlight w:val="none"/>
        </w:rPr>
      </w:pPr>
    </w:p>
    <w:p w14:paraId="6C338557">
      <w:pPr>
        <w:pStyle w:val="259"/>
        <w:rPr>
          <w:rFonts w:hint="eastAsia" w:ascii="宋体" w:hAnsi="宋体" w:eastAsia="宋体" w:cs="宋体"/>
          <w:color w:val="auto"/>
          <w:szCs w:val="24"/>
          <w:highlight w:val="none"/>
        </w:rPr>
      </w:pPr>
    </w:p>
    <w:bookmarkEnd w:id="0"/>
    <w:bookmarkEnd w:id="1"/>
    <w:bookmarkEnd w:id="2"/>
    <w:bookmarkEnd w:id="3"/>
    <w:p w14:paraId="00815CC4">
      <w:pPr>
        <w:pStyle w:val="259"/>
        <w:rPr>
          <w:rFonts w:hint="eastAsia" w:ascii="宋体" w:hAnsi="宋体" w:eastAsia="宋体" w:cs="宋体"/>
          <w:color w:val="auto"/>
          <w:szCs w:val="24"/>
          <w:highlight w:val="none"/>
        </w:rPr>
      </w:pPr>
    </w:p>
    <w:p w14:paraId="35BF6059">
      <w:pPr>
        <w:pStyle w:val="259"/>
        <w:rPr>
          <w:rFonts w:hint="eastAsia" w:ascii="宋体" w:hAnsi="宋体" w:eastAsia="宋体" w:cs="宋体"/>
          <w:color w:val="auto"/>
          <w:szCs w:val="24"/>
          <w:highlight w:val="none"/>
        </w:rPr>
      </w:pPr>
    </w:p>
    <w:p w14:paraId="300855A2">
      <w:pPr>
        <w:pStyle w:val="259"/>
        <w:jc w:val="center"/>
        <w:rPr>
          <w:rFonts w:hint="eastAsia" w:ascii="宋体" w:hAnsi="宋体" w:eastAsia="宋体" w:cs="宋体"/>
          <w:b/>
          <w:color w:val="auto"/>
          <w:sz w:val="44"/>
          <w:szCs w:val="44"/>
          <w:highlight w:val="none"/>
        </w:rPr>
        <w:sectPr>
          <w:footerReference r:id="rId4" w:type="default"/>
          <w:pgSz w:w="11906" w:h="16838"/>
          <w:pgMar w:top="1157" w:right="1236" w:bottom="1157" w:left="1236" w:header="851" w:footer="992" w:gutter="0"/>
          <w:pgNumType w:start="1"/>
          <w:cols w:space="425" w:num="1"/>
          <w:docGrid w:linePitch="360" w:charSpace="0"/>
        </w:sectPr>
      </w:pPr>
    </w:p>
    <w:p w14:paraId="64DBC04E">
      <w:pPr>
        <w:pStyle w:val="259"/>
        <w:keepNext w:val="0"/>
        <w:keepLines w:val="0"/>
        <w:pageBreakBefore w:val="0"/>
        <w:widowControl w:val="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第一部分  </w:t>
      </w:r>
      <w:r>
        <w:rPr>
          <w:rFonts w:hint="eastAsia" w:ascii="宋体" w:hAnsi="宋体" w:eastAsia="宋体" w:cs="宋体"/>
          <w:b/>
          <w:color w:val="auto"/>
          <w:sz w:val="44"/>
          <w:szCs w:val="44"/>
          <w:highlight w:val="none"/>
          <w:lang w:val="en-US" w:eastAsia="zh-CN"/>
        </w:rPr>
        <w:t>采购</w:t>
      </w:r>
      <w:r>
        <w:rPr>
          <w:rFonts w:hint="eastAsia" w:ascii="宋体" w:hAnsi="宋体" w:eastAsia="宋体" w:cs="宋体"/>
          <w:b/>
          <w:color w:val="auto"/>
          <w:sz w:val="44"/>
          <w:szCs w:val="44"/>
          <w:highlight w:val="none"/>
        </w:rPr>
        <w:t>公告</w:t>
      </w:r>
      <w:bookmarkStart w:id="4" w:name="OLE_LINK1"/>
      <w:bookmarkStart w:id="5" w:name="OLE_LINK4"/>
      <w:bookmarkStart w:id="6" w:name="OLE_LINK3"/>
      <w:bookmarkStart w:id="7" w:name="OLE_LINK2"/>
    </w:p>
    <w:p w14:paraId="43EEE302">
      <w:pPr>
        <w:pStyle w:val="24"/>
        <w:keepNext w:val="0"/>
        <w:keepLines w:val="0"/>
        <w:pageBreakBefore w:val="0"/>
        <w:pBdr>
          <w:top w:val="single" w:color="auto" w:sz="4" w:space="0"/>
          <w:left w:val="single" w:color="auto" w:sz="4" w:space="0"/>
          <w:bottom w:val="single" w:color="auto" w:sz="4" w:space="0"/>
          <w:right w:val="single" w:color="auto" w:sz="4" w:space="0"/>
        </w:pBd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项目概况</w:t>
      </w:r>
    </w:p>
    <w:p w14:paraId="7FC413FF">
      <w:pPr>
        <w:pStyle w:val="24"/>
        <w:keepNext w:val="0"/>
        <w:keepLines w:val="0"/>
        <w:pageBreakBefore w:val="0"/>
        <w:pBdr>
          <w:top w:val="single" w:color="auto" w:sz="4" w:space="0"/>
          <w:left w:val="single" w:color="auto" w:sz="4" w:space="0"/>
          <w:bottom w:val="single" w:color="auto" w:sz="4" w:space="0"/>
          <w:right w:val="single" w:color="auto" w:sz="4"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恒通佳苑消防改造项目</w:t>
      </w:r>
      <w:r>
        <w:rPr>
          <w:rFonts w:hint="eastAsia" w:ascii="宋体" w:hAnsi="宋体" w:eastAsia="宋体" w:cs="宋体"/>
          <w:color w:val="auto"/>
          <w:sz w:val="24"/>
          <w:szCs w:val="24"/>
          <w:highlight w:val="none"/>
        </w:rPr>
        <w:t>的</w:t>
      </w:r>
      <w:r>
        <w:rPr>
          <w:rFonts w:hint="eastAsia" w:ascii="宋体" w:hAnsi="宋体" w:eastAsia="宋体" w:cs="宋体"/>
          <w:color w:val="auto"/>
          <w:sz w:val="24"/>
          <w:highlight w:val="none"/>
        </w:rPr>
        <w:t>潜在供应商</w:t>
      </w:r>
      <w:r>
        <w:rPr>
          <w:rFonts w:hint="eastAsia" w:ascii="宋体" w:hAnsi="宋体" w:eastAsia="宋体" w:cs="宋体"/>
          <w:b w:val="0"/>
          <w:bCs w:val="0"/>
          <w:color w:val="auto"/>
          <w:sz w:val="24"/>
          <w:highlight w:val="none"/>
        </w:rPr>
        <w:t>应在“苏采云”</w:t>
      </w:r>
      <w:r>
        <w:rPr>
          <w:rFonts w:hint="eastAsia" w:ascii="宋体" w:hAnsi="宋体" w:eastAsia="宋体" w:cs="宋体"/>
          <w:b w:val="0"/>
          <w:bCs w:val="0"/>
          <w:color w:val="auto"/>
          <w:sz w:val="24"/>
          <w:highlight w:val="none"/>
          <w:lang w:val="en-US" w:eastAsia="zh-CN"/>
        </w:rPr>
        <w:t>系统</w:t>
      </w:r>
      <w:r>
        <w:rPr>
          <w:rFonts w:hint="eastAsia" w:ascii="宋体" w:hAnsi="宋体" w:eastAsia="宋体" w:cs="宋体"/>
          <w:b w:val="0"/>
          <w:bCs w:val="0"/>
          <w:color w:val="auto"/>
          <w:sz w:val="24"/>
          <w:highlight w:val="none"/>
        </w:rPr>
        <w:t>下载获取电</w:t>
      </w:r>
      <w:r>
        <w:rPr>
          <w:rFonts w:hint="eastAsia" w:ascii="宋体" w:hAnsi="宋体" w:eastAsia="宋体" w:cs="宋体"/>
          <w:color w:val="auto"/>
          <w:sz w:val="24"/>
          <w:highlight w:val="none"/>
        </w:rPr>
        <w:t>子</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w:t>
      </w:r>
      <w:r>
        <w:rPr>
          <w:rFonts w:hint="eastAsia" w:ascii="宋体" w:hAnsi="宋体" w:eastAsia="宋体" w:cs="宋体"/>
          <w:color w:val="auto"/>
          <w:sz w:val="24"/>
          <w:szCs w:val="24"/>
          <w:highlight w:val="none"/>
        </w:rPr>
        <w:t>，并于</w:t>
      </w:r>
      <w:r>
        <w:rPr>
          <w:rFonts w:hint="eastAsia" w:ascii="宋体" w:hAnsi="宋体" w:eastAsia="宋体" w:cs="宋体"/>
          <w:b/>
          <w:color w:val="auto"/>
          <w:sz w:val="24"/>
          <w:szCs w:val="24"/>
          <w:highlight w:val="none"/>
          <w:u w:val="single"/>
          <w:lang w:eastAsia="zh-CN"/>
        </w:rPr>
        <w:t>202</w:t>
      </w:r>
      <w:r>
        <w:rPr>
          <w:rFonts w:hint="eastAsia" w:ascii="宋体" w:hAnsi="宋体" w:eastAsia="宋体" w:cs="宋体"/>
          <w:b/>
          <w:color w:val="auto"/>
          <w:sz w:val="24"/>
          <w:szCs w:val="24"/>
          <w:highlight w:val="none"/>
          <w:u w:val="single"/>
          <w:lang w:val="en-US" w:eastAsia="zh-CN"/>
        </w:rPr>
        <w:t>5</w:t>
      </w:r>
      <w:r>
        <w:rPr>
          <w:rFonts w:hint="eastAsia" w:ascii="宋体" w:hAnsi="宋体" w:eastAsia="宋体" w:cs="宋体"/>
          <w:b/>
          <w:color w:val="auto"/>
          <w:sz w:val="24"/>
          <w:szCs w:val="24"/>
          <w:highlight w:val="none"/>
          <w:u w:val="single"/>
          <w:lang w:eastAsia="zh-CN"/>
        </w:rPr>
        <w:t>年</w:t>
      </w:r>
      <w:r>
        <w:rPr>
          <w:rFonts w:hint="eastAsia" w:ascii="宋体" w:hAnsi="宋体" w:eastAsia="宋体" w:cs="宋体"/>
          <w:b/>
          <w:color w:val="auto"/>
          <w:sz w:val="24"/>
          <w:szCs w:val="24"/>
          <w:highlight w:val="none"/>
          <w:u w:val="single"/>
          <w:lang w:val="en-US" w:eastAsia="zh-CN"/>
        </w:rPr>
        <w:t xml:space="preserve"> 11 </w:t>
      </w:r>
      <w:r>
        <w:rPr>
          <w:rFonts w:hint="eastAsia" w:ascii="宋体" w:hAnsi="宋体" w:eastAsia="宋体" w:cs="宋体"/>
          <w:b/>
          <w:color w:val="auto"/>
          <w:sz w:val="24"/>
          <w:szCs w:val="24"/>
          <w:highlight w:val="none"/>
          <w:u w:val="single"/>
          <w:lang w:eastAsia="zh-CN"/>
        </w:rPr>
        <w:t>月</w:t>
      </w:r>
      <w:r>
        <w:rPr>
          <w:rFonts w:hint="eastAsia" w:ascii="宋体" w:hAnsi="宋体" w:eastAsia="宋体" w:cs="宋体"/>
          <w:b/>
          <w:color w:val="auto"/>
          <w:sz w:val="24"/>
          <w:szCs w:val="24"/>
          <w:highlight w:val="none"/>
          <w:u w:val="single"/>
          <w:lang w:val="en-US" w:eastAsia="zh-CN"/>
        </w:rPr>
        <w:t>21</w:t>
      </w:r>
      <w:r>
        <w:rPr>
          <w:rFonts w:hint="eastAsia" w:ascii="宋体" w:hAnsi="宋体" w:eastAsia="宋体" w:cs="宋体"/>
          <w:b/>
          <w:color w:val="auto"/>
          <w:sz w:val="24"/>
          <w:szCs w:val="24"/>
          <w:highlight w:val="none"/>
          <w:u w:val="single"/>
          <w:lang w:eastAsia="zh-CN"/>
        </w:rPr>
        <w:t>日1</w:t>
      </w:r>
      <w:r>
        <w:rPr>
          <w:rFonts w:hint="eastAsia" w:ascii="宋体" w:hAnsi="宋体" w:eastAsia="宋体" w:cs="宋体"/>
          <w:b/>
          <w:color w:val="auto"/>
          <w:sz w:val="24"/>
          <w:szCs w:val="24"/>
          <w:highlight w:val="none"/>
          <w:u w:val="single"/>
          <w:lang w:val="en-US" w:eastAsia="zh-CN"/>
        </w:rPr>
        <w:t>3</w:t>
      </w:r>
      <w:r>
        <w:rPr>
          <w:rFonts w:hint="eastAsia" w:ascii="宋体" w:hAnsi="宋体" w:eastAsia="宋体" w:cs="宋体"/>
          <w:b/>
          <w:color w:val="auto"/>
          <w:sz w:val="24"/>
          <w:szCs w:val="24"/>
          <w:highlight w:val="none"/>
          <w:u w:val="single"/>
          <w:lang w:eastAsia="zh-CN"/>
        </w:rPr>
        <w:t>点</w:t>
      </w:r>
      <w:r>
        <w:rPr>
          <w:rFonts w:hint="eastAsia" w:ascii="宋体" w:hAnsi="宋体" w:eastAsia="宋体" w:cs="宋体"/>
          <w:b/>
          <w:color w:val="auto"/>
          <w:sz w:val="24"/>
          <w:szCs w:val="24"/>
          <w:highlight w:val="none"/>
          <w:u w:val="single"/>
          <w:lang w:val="en-US" w:eastAsia="zh-CN"/>
        </w:rPr>
        <w:t>3</w:t>
      </w:r>
      <w:r>
        <w:rPr>
          <w:rFonts w:hint="eastAsia" w:ascii="宋体" w:hAnsi="宋体" w:eastAsia="宋体" w:cs="宋体"/>
          <w:b/>
          <w:color w:val="auto"/>
          <w:sz w:val="24"/>
          <w:szCs w:val="24"/>
          <w:highlight w:val="none"/>
          <w:u w:val="single"/>
          <w:lang w:eastAsia="zh-CN"/>
        </w:rPr>
        <w:t>0分</w:t>
      </w:r>
      <w:r>
        <w:rPr>
          <w:rFonts w:hint="eastAsia" w:ascii="宋体" w:hAnsi="宋体" w:eastAsia="宋体" w:cs="宋体"/>
          <w:color w:val="auto"/>
          <w:sz w:val="24"/>
          <w:szCs w:val="24"/>
          <w:highlight w:val="none"/>
        </w:rPr>
        <w:t>（北京时间）前上传电子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p>
    <w:p w14:paraId="4AB37D97">
      <w:pPr>
        <w:pStyle w:val="24"/>
        <w:keepNext w:val="0"/>
        <w:keepLines w:val="0"/>
        <w:pageBreakBefore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一、项目基本情况</w:t>
      </w:r>
    </w:p>
    <w:p w14:paraId="7A43BCA3">
      <w:pPr>
        <w:pStyle w:val="24"/>
        <w:keepNext w:val="0"/>
        <w:keepLines w:val="0"/>
        <w:pageBreakBefore w:val="0"/>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采购编号</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JSZC-320585-FYWL-C2025-0023</w:t>
      </w:r>
    </w:p>
    <w:p w14:paraId="54F36738">
      <w:pPr>
        <w:pStyle w:val="24"/>
        <w:keepNext w:val="0"/>
        <w:keepLines w:val="0"/>
        <w:pageBreakBefore w:val="0"/>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项目名称：</w:t>
      </w:r>
      <w:r>
        <w:rPr>
          <w:rFonts w:hint="eastAsia" w:ascii="宋体" w:hAnsi="宋体" w:eastAsia="宋体" w:cs="宋体"/>
          <w:b w:val="0"/>
          <w:bCs w:val="0"/>
          <w:color w:val="auto"/>
          <w:sz w:val="24"/>
          <w:szCs w:val="24"/>
          <w:highlight w:val="none"/>
          <w:lang w:eastAsia="zh-CN"/>
        </w:rPr>
        <w:t>恒通佳苑消防改造项目</w:t>
      </w:r>
    </w:p>
    <w:p w14:paraId="458CEF68">
      <w:pPr>
        <w:pStyle w:val="24"/>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预算金额：</w:t>
      </w:r>
      <w:r>
        <w:rPr>
          <w:rFonts w:hint="eastAsia" w:ascii="宋体" w:hAnsi="宋体" w:eastAsia="宋体" w:cs="宋体"/>
          <w:b w:val="0"/>
          <w:bCs w:val="0"/>
          <w:color w:val="auto"/>
          <w:sz w:val="24"/>
          <w:szCs w:val="24"/>
          <w:highlight w:val="none"/>
          <w:lang w:val="en-US" w:eastAsia="zh-CN"/>
        </w:rPr>
        <w:t>¥1500000.00元（大写：壹佰伍拾万元整）</w:t>
      </w:r>
    </w:p>
    <w:p w14:paraId="5D636848">
      <w:pPr>
        <w:pStyle w:val="24"/>
        <w:keepNext w:val="0"/>
        <w:keepLines w:val="0"/>
        <w:pageBreakBefore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最高限价：</w:t>
      </w:r>
      <w:r>
        <w:rPr>
          <w:rFonts w:hint="eastAsia" w:ascii="宋体" w:hAnsi="宋体" w:eastAsia="宋体" w:cs="宋体"/>
          <w:b w:val="0"/>
          <w:bCs w:val="0"/>
          <w:color w:val="auto"/>
          <w:sz w:val="24"/>
          <w:szCs w:val="24"/>
          <w:highlight w:val="none"/>
          <w:lang w:val="en-US" w:eastAsia="zh-CN"/>
        </w:rPr>
        <w:t>¥1500000.00元（大写：壹佰伍拾万元整）</w:t>
      </w:r>
    </w:p>
    <w:p w14:paraId="4F78E5BE">
      <w:pPr>
        <w:pStyle w:val="24"/>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采购方式：竞争性磋商</w:t>
      </w:r>
    </w:p>
    <w:p w14:paraId="6270777A">
      <w:pPr>
        <w:pStyle w:val="24"/>
        <w:keepNext w:val="0"/>
        <w:keepLines w:val="0"/>
        <w:pageBreakBefore w:val="0"/>
        <w:spacing w:line="360" w:lineRule="auto"/>
        <w:ind w:firstLine="48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采购需求：</w:t>
      </w:r>
      <w:r>
        <w:rPr>
          <w:rFonts w:hint="eastAsia" w:ascii="宋体" w:hAnsi="宋体" w:eastAsia="宋体" w:cs="宋体"/>
          <w:b w:val="0"/>
          <w:bCs w:val="0"/>
          <w:color w:val="auto"/>
          <w:sz w:val="24"/>
          <w:szCs w:val="24"/>
          <w:highlight w:val="none"/>
          <w:lang w:eastAsia="zh-CN"/>
        </w:rPr>
        <w:t>恒通佳苑消防改造项目，具体内容详见招标文件</w:t>
      </w:r>
      <w:r>
        <w:rPr>
          <w:rFonts w:hint="eastAsia" w:ascii="宋体" w:hAnsi="宋体" w:eastAsia="宋体" w:cs="宋体"/>
          <w:b w:val="0"/>
          <w:bCs w:val="0"/>
          <w:color w:val="auto"/>
          <w:sz w:val="24"/>
          <w:szCs w:val="24"/>
          <w:highlight w:val="none"/>
          <w:lang w:val="en-US" w:eastAsia="zh-CN"/>
        </w:rPr>
        <w:t>。</w:t>
      </w:r>
    </w:p>
    <w:p w14:paraId="5EC603EC">
      <w:pPr>
        <w:pStyle w:val="24"/>
        <w:keepNext w:val="0"/>
        <w:keepLines w:val="0"/>
        <w:pageBreakBefore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服务期限：90日历天</w:t>
      </w:r>
    </w:p>
    <w:p w14:paraId="2D11B274">
      <w:pPr>
        <w:pStyle w:val="16"/>
        <w:keepNext w:val="0"/>
        <w:keepLines w:val="0"/>
        <w:pageBreakBefore w:val="0"/>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本项目（是/否）接受联合体投标：</w:t>
      </w:r>
      <w:r>
        <w:rPr>
          <w:rFonts w:hint="eastAsia" w:ascii="宋体" w:hAnsi="宋体" w:eastAsia="宋体" w:cs="宋体"/>
          <w:b w:val="0"/>
          <w:bCs w:val="0"/>
          <w:color w:val="auto"/>
          <w:sz w:val="24"/>
          <w:szCs w:val="24"/>
          <w:highlight w:val="none"/>
          <w:lang w:val="en-US" w:eastAsia="zh-CN"/>
        </w:rPr>
        <w:t>否</w:t>
      </w:r>
    </w:p>
    <w:p w14:paraId="1BED5A00">
      <w:pPr>
        <w:pStyle w:val="24"/>
        <w:keepNext w:val="0"/>
        <w:keepLines w:val="0"/>
        <w:pageBreakBefore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二、申请人的资格要求</w:t>
      </w:r>
    </w:p>
    <w:p w14:paraId="34058360">
      <w:pPr>
        <w:pStyle w:val="24"/>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w:t>
      </w:r>
    </w:p>
    <w:p w14:paraId="2BCA77B7">
      <w:pPr>
        <w:pStyle w:val="24"/>
        <w:keepNext w:val="0"/>
        <w:keepLines w:val="0"/>
        <w:pageBreakBefore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具有独立承担民事责任的能力（提供法人或者其他组织的营业执照等证明文件，自然人的身份证明）</w:t>
      </w:r>
      <w:r>
        <w:rPr>
          <w:rFonts w:hint="eastAsia" w:ascii="宋体" w:hAnsi="宋体" w:eastAsia="宋体" w:cs="宋体"/>
          <w:color w:val="auto"/>
          <w:sz w:val="24"/>
          <w:szCs w:val="24"/>
          <w:highlight w:val="none"/>
          <w:lang w:eastAsia="zh-CN"/>
        </w:rPr>
        <w:t>；</w:t>
      </w:r>
    </w:p>
    <w:p w14:paraId="0FC43EC5">
      <w:pPr>
        <w:pStyle w:val="24"/>
        <w:keepNext w:val="0"/>
        <w:keepLines w:val="0"/>
        <w:pageBreakBefore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具有良好的商业信誉和健全的财务会计制度（提供最近一期的财务状况报告，其他组织、自然人提供银行出具的资信证明）</w:t>
      </w:r>
      <w:r>
        <w:rPr>
          <w:rFonts w:hint="eastAsia" w:ascii="宋体" w:hAnsi="宋体" w:eastAsia="宋体" w:cs="宋体"/>
          <w:color w:val="auto"/>
          <w:sz w:val="24"/>
          <w:szCs w:val="24"/>
          <w:highlight w:val="none"/>
          <w:lang w:eastAsia="zh-CN"/>
        </w:rPr>
        <w:t>；</w:t>
      </w:r>
    </w:p>
    <w:p w14:paraId="3706C200">
      <w:pPr>
        <w:pStyle w:val="24"/>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具有履行合同所必需的设备和专业技术能力（提供履行合同所必需的设备和专业技术能力的证明材料）；</w:t>
      </w:r>
    </w:p>
    <w:p w14:paraId="1CAA0497">
      <w:pPr>
        <w:pStyle w:val="24"/>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有依法缴纳税收和社会保障资金的良好记录（提供参加本次政府采购活动前半年（至少一个月）依法缴纳税收和社会保障资金的证明材料，依法免税或不需要缴纳社会保障资金的，提供相关证明文件）；</w:t>
      </w:r>
    </w:p>
    <w:p w14:paraId="6054D8EA">
      <w:pPr>
        <w:pStyle w:val="24"/>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参加政府采购活动前三年内，在经营活动中没有重大违法记录（提供参加本次政府采购活动前3年内在经营活动中没有重大违法记录的书面声明）（格式附后）；</w:t>
      </w:r>
    </w:p>
    <w:p w14:paraId="7DCA6A3B">
      <w:pPr>
        <w:pStyle w:val="24"/>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法律、行政法规规定的其他条件。</w:t>
      </w:r>
    </w:p>
    <w:p w14:paraId="22230393">
      <w:pPr>
        <w:pStyle w:val="24"/>
        <w:keepNext w:val="0"/>
        <w:keepLines w:val="0"/>
        <w:pageBreakBefore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（二）落实政府采购政策需满足的资格要求：</w:t>
      </w:r>
    </w:p>
    <w:p w14:paraId="2136F61E">
      <w:pPr>
        <w:pStyle w:val="24"/>
        <w:keepNext w:val="0"/>
        <w:keepLines w:val="0"/>
        <w:pageBreakBefore w:val="0"/>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本项目专门面向中小企业采购，所属行业为</w:t>
      </w:r>
      <w:r>
        <w:rPr>
          <w:rFonts w:hint="eastAsia" w:ascii="宋体" w:hAnsi="宋体" w:eastAsia="宋体" w:cs="宋体"/>
          <w:b w:val="0"/>
          <w:bCs/>
          <w:color w:val="auto"/>
          <w:sz w:val="24"/>
          <w:szCs w:val="24"/>
          <w:highlight w:val="none"/>
          <w:lang w:val="en-US" w:eastAsia="zh-CN"/>
        </w:rPr>
        <w:t>批发业</w:t>
      </w:r>
      <w:r>
        <w:rPr>
          <w:rFonts w:hint="eastAsia" w:ascii="宋体" w:hAnsi="宋体" w:eastAsia="宋体" w:cs="宋体"/>
          <w:b w:val="0"/>
          <w:bCs/>
          <w:color w:val="auto"/>
          <w:sz w:val="24"/>
          <w:szCs w:val="24"/>
          <w:highlight w:val="none"/>
        </w:rPr>
        <w:t>，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p>
    <w:p w14:paraId="57BC7D4C">
      <w:pPr>
        <w:pStyle w:val="24"/>
        <w:keepNext w:val="0"/>
        <w:keepLines w:val="0"/>
        <w:pageBreakBefore w:val="0"/>
        <w:numPr>
          <w:ilvl w:val="0"/>
          <w:numId w:val="0"/>
        </w:num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（三）</w:t>
      </w:r>
      <w:r>
        <w:rPr>
          <w:rFonts w:hint="eastAsia" w:ascii="宋体" w:hAnsi="宋体" w:eastAsia="宋体" w:cs="宋体"/>
          <w:b w:val="0"/>
          <w:bCs/>
          <w:color w:val="auto"/>
          <w:sz w:val="24"/>
          <w:szCs w:val="24"/>
          <w:highlight w:val="none"/>
        </w:rPr>
        <w:t>本项目的特定资格要求：</w:t>
      </w:r>
    </w:p>
    <w:p w14:paraId="6E8A704D">
      <w:pPr>
        <w:pStyle w:val="24"/>
        <w:keepNext w:val="0"/>
        <w:keepLines w:val="0"/>
        <w:pageBreakBefore w:val="0"/>
        <w:numPr>
          <w:ilvl w:val="0"/>
          <w:numId w:val="0"/>
        </w:numPr>
        <w:spacing w:line="360" w:lineRule="auto"/>
        <w:ind w:firstLine="480"/>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1.申请人资质类别和等级：具有有效期内的消防设施工程专业承包二级及以上资质；企业具备安全生产条件，并取得安全生产许可证。</w:t>
      </w:r>
    </w:p>
    <w:p w14:paraId="121FED5E">
      <w:pPr>
        <w:pStyle w:val="24"/>
        <w:keepNext w:val="0"/>
        <w:keepLines w:val="0"/>
        <w:pageBreakBefore w:val="0"/>
        <w:numPr>
          <w:ilvl w:val="0"/>
          <w:numId w:val="0"/>
        </w:numPr>
        <w:spacing w:line="360" w:lineRule="auto"/>
        <w:ind w:firstLine="480"/>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2.拟选派项目经理资质等级：机电工程专业注册建造师二级（含）以上和《建筑施工企业项目负责人安全生产考核合格证书》（B类）。</w:t>
      </w:r>
    </w:p>
    <w:p w14:paraId="497EB276">
      <w:pPr>
        <w:pStyle w:val="24"/>
        <w:keepNext w:val="0"/>
        <w:keepLines w:val="0"/>
        <w:pageBreakBefore w:val="0"/>
        <w:numPr>
          <w:ilvl w:val="0"/>
          <w:numId w:val="0"/>
        </w:numPr>
        <w:spacing w:line="360" w:lineRule="auto"/>
        <w:ind w:firstLine="480"/>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2.1项目经理必须满足下列条件：</w:t>
      </w:r>
    </w:p>
    <w:p w14:paraId="12BCCB03">
      <w:pPr>
        <w:pStyle w:val="24"/>
        <w:keepNext w:val="0"/>
        <w:keepLines w:val="0"/>
        <w:pageBreakBefore w:val="0"/>
        <w:numPr>
          <w:ilvl w:val="0"/>
          <w:numId w:val="0"/>
        </w:numPr>
        <w:spacing w:line="360" w:lineRule="auto"/>
        <w:ind w:firstLine="480"/>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1）项目经理不得同时在两个或者两个以上单位受聘或者执业。</w:t>
      </w:r>
    </w:p>
    <w:p w14:paraId="0BE71FB7">
      <w:pPr>
        <w:pStyle w:val="24"/>
        <w:keepNext w:val="0"/>
        <w:keepLines w:val="0"/>
        <w:pageBreakBefore w:val="0"/>
        <w:numPr>
          <w:ilvl w:val="0"/>
          <w:numId w:val="0"/>
        </w:numPr>
        <w:spacing w:line="360" w:lineRule="auto"/>
        <w:ind w:firstLine="480"/>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2）项目经理是非变更后无在建工程，或项目经理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经理执业范围之内。</w:t>
      </w:r>
    </w:p>
    <w:p w14:paraId="41DAA014">
      <w:pPr>
        <w:pStyle w:val="24"/>
        <w:keepNext w:val="0"/>
        <w:keepLines w:val="0"/>
        <w:pageBreakBefore w:val="0"/>
        <w:numPr>
          <w:ilvl w:val="0"/>
          <w:numId w:val="0"/>
        </w:numPr>
        <w:spacing w:line="360" w:lineRule="auto"/>
        <w:ind w:firstLine="480"/>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3.未被“信用中国”网站（www.creditchina.gov.cn）列入失信被执行人、重大税收违法案件当事人名单、政府采购严重失信行为记录名单。</w:t>
      </w:r>
    </w:p>
    <w:p w14:paraId="43B35E40">
      <w:pPr>
        <w:pStyle w:val="24"/>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（四）拒绝下述供应商参加本次采购活动：</w:t>
      </w:r>
    </w:p>
    <w:p w14:paraId="5B3DAB4C">
      <w:pPr>
        <w:pStyle w:val="24"/>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1.供应商单位负责人为同一人或者存在直接控股、管理关系的不同供应商，不得参加同一合同项下的政府采购活动。</w:t>
      </w:r>
    </w:p>
    <w:p w14:paraId="6A197D6F">
      <w:pPr>
        <w:pStyle w:val="24"/>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2.凡为采购项目提供整体设计、规范编制或者项目管理、监理、检测等服务的供应商，不得再参加本项目的采购活动。</w:t>
      </w:r>
    </w:p>
    <w:p w14:paraId="416CC162">
      <w:pPr>
        <w:pStyle w:val="24"/>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3.法人的分支机构不得参加投标（除银行、保险、石油石化、电力、电信等行业特殊情况外）。</w:t>
      </w:r>
    </w:p>
    <w:p w14:paraId="78604C5E">
      <w:pPr>
        <w:pStyle w:val="24"/>
        <w:keepNext w:val="0"/>
        <w:keepLines w:val="0"/>
        <w:pageBreakBefore w:val="0"/>
        <w:spacing w:line="360" w:lineRule="auto"/>
        <w:ind w:firstLine="48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6712B664">
      <w:pPr>
        <w:pStyle w:val="24"/>
        <w:keepNext w:val="0"/>
        <w:keepLines w:val="0"/>
        <w:pageBreakBefore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w:t>
      </w:r>
      <w:r>
        <w:rPr>
          <w:rFonts w:hint="eastAsia" w:ascii="宋体" w:hAnsi="宋体" w:eastAsia="宋体" w:cs="宋体"/>
          <w:b/>
          <w:color w:val="auto"/>
          <w:sz w:val="24"/>
          <w:szCs w:val="24"/>
          <w:highlight w:val="none"/>
          <w:lang w:val="en-US" w:eastAsia="zh-CN"/>
        </w:rPr>
        <w:t>采购</w:t>
      </w:r>
      <w:r>
        <w:rPr>
          <w:rFonts w:hint="eastAsia" w:ascii="宋体" w:hAnsi="宋体" w:eastAsia="宋体" w:cs="宋体"/>
          <w:b/>
          <w:color w:val="auto"/>
          <w:sz w:val="24"/>
          <w:szCs w:val="24"/>
          <w:highlight w:val="none"/>
        </w:rPr>
        <w:t>文件</w:t>
      </w:r>
    </w:p>
    <w:p w14:paraId="393E6243">
      <w:pPr>
        <w:pStyle w:val="24"/>
        <w:keepNext w:val="0"/>
        <w:keepLines w:val="0"/>
        <w:pageBreakBefore w:val="0"/>
        <w:numPr>
          <w:ilvl w:val="0"/>
          <w:numId w:val="0"/>
        </w:num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时间：自本公告发布之日起5个工作日</w:t>
      </w:r>
    </w:p>
    <w:p w14:paraId="50AA8AA0">
      <w:pPr>
        <w:pStyle w:val="24"/>
        <w:keepNext w:val="0"/>
        <w:keepLines w:val="0"/>
        <w:pageBreakBefore w:val="0"/>
        <w:numPr>
          <w:ilvl w:val="0"/>
          <w:numId w:val="0"/>
        </w:numPr>
        <w:spacing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地点：“苏采云”系统</w:t>
      </w:r>
    </w:p>
    <w:p w14:paraId="7819D4EC">
      <w:pPr>
        <w:pStyle w:val="24"/>
        <w:keepNext w:val="0"/>
        <w:keepLines w:val="0"/>
        <w:pageBreakBefore w:val="0"/>
        <w:numPr>
          <w:ilvl w:val="0"/>
          <w:numId w:val="0"/>
        </w:numPr>
        <w:spacing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方式：自行下载</w:t>
      </w:r>
    </w:p>
    <w:p w14:paraId="692921F6">
      <w:pPr>
        <w:pStyle w:val="24"/>
        <w:keepNext w:val="0"/>
        <w:keepLines w:val="0"/>
        <w:pageBreakBefore w:val="0"/>
        <w:numPr>
          <w:ilvl w:val="0"/>
          <w:numId w:val="0"/>
        </w:numPr>
        <w:spacing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售价：0.00元</w:t>
      </w:r>
    </w:p>
    <w:p w14:paraId="50643250">
      <w:pPr>
        <w:pStyle w:val="24"/>
        <w:keepNext w:val="0"/>
        <w:keepLines w:val="0"/>
        <w:pageBreakBefore w:val="0"/>
        <w:spacing w:line="360" w:lineRule="auto"/>
        <w:ind w:firstLine="482"/>
        <w:rPr>
          <w:rFonts w:hint="eastAsia" w:ascii="宋体" w:hAnsi="宋体" w:eastAsia="宋体" w:cs="宋体"/>
          <w:i w:val="0"/>
          <w:iCs w:val="0"/>
          <w:caps w:val="0"/>
          <w:color w:val="auto"/>
          <w:spacing w:val="0"/>
          <w:highlight w:val="none"/>
        </w:rPr>
      </w:pPr>
      <w:r>
        <w:rPr>
          <w:rFonts w:hint="eastAsia" w:ascii="宋体" w:hAnsi="宋体" w:eastAsia="宋体" w:cs="宋体"/>
          <w:b/>
          <w:color w:val="auto"/>
          <w:sz w:val="24"/>
          <w:szCs w:val="24"/>
          <w:highlight w:val="none"/>
        </w:rPr>
        <w:t>四、提交</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文件截止时间、开标时间和地点</w:t>
      </w:r>
    </w:p>
    <w:p w14:paraId="7B54EFDE">
      <w:pPr>
        <w:pStyle w:val="24"/>
        <w:keepNext w:val="0"/>
        <w:keepLines w:val="0"/>
        <w:pageBreakBefore w:val="0"/>
        <w:numPr>
          <w:ilvl w:val="0"/>
          <w:numId w:val="0"/>
        </w:num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时间：2025年11月21日 13:30 （北京时间）</w:t>
      </w:r>
    </w:p>
    <w:p w14:paraId="1C731EE6">
      <w:pPr>
        <w:pStyle w:val="24"/>
        <w:keepNext w:val="0"/>
        <w:keepLines w:val="0"/>
        <w:pageBreakBefore w:val="0"/>
        <w:numPr>
          <w:ilvl w:val="0"/>
          <w:numId w:val="0"/>
        </w:numPr>
        <w:spacing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地点：“苏采云”系统</w:t>
      </w:r>
    </w:p>
    <w:p w14:paraId="2BE42BDB">
      <w:pPr>
        <w:pStyle w:val="24"/>
        <w:keepNext w:val="0"/>
        <w:keepLines w:val="0"/>
        <w:pageBreakBefore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五、公告期限</w:t>
      </w:r>
    </w:p>
    <w:p w14:paraId="670ABBD2">
      <w:pPr>
        <w:pStyle w:val="24"/>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39CCBD5E">
      <w:pPr>
        <w:pStyle w:val="24"/>
        <w:keepNext w:val="0"/>
        <w:keepLines w:val="0"/>
        <w:pageBreakBefore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六、其他补充事宜：</w:t>
      </w:r>
    </w:p>
    <w:p w14:paraId="21CA8C2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1.本项目需要使用CA数字证书制作、上传电子响应文件完成电子投标，请供应商在参加投标活动前办理好CA数字证书申领及电子签章等操作。</w:t>
      </w:r>
    </w:p>
    <w:p w14:paraId="670052E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2"/>
        <w:jc w:val="left"/>
        <w:rPr>
          <w:rFonts w:hint="eastAsia" w:ascii="宋体" w:hAnsi="宋体" w:eastAsia="宋体" w:cs="宋体"/>
          <w:i w:val="0"/>
          <w:iCs w:val="0"/>
          <w:caps w:val="0"/>
          <w:color w:val="auto"/>
          <w:spacing w:val="0"/>
          <w:sz w:val="24"/>
          <w:szCs w:val="24"/>
          <w:highlight w:val="none"/>
        </w:rPr>
      </w:pPr>
      <w:r>
        <w:rPr>
          <w:rStyle w:val="69"/>
          <w:rFonts w:hint="eastAsia" w:ascii="宋体" w:hAnsi="宋体" w:eastAsia="宋体" w:cs="宋体"/>
          <w:i w:val="0"/>
          <w:iCs w:val="0"/>
          <w:caps w:val="0"/>
          <w:color w:val="auto"/>
          <w:spacing w:val="0"/>
          <w:sz w:val="24"/>
          <w:szCs w:val="24"/>
          <w:highlight w:val="none"/>
          <w:shd w:val="clear" w:color="auto" w:fill="FFFFFF"/>
          <w:lang w:val="en-US" w:eastAsia="zh-CN" w:bidi="ar"/>
        </w:rPr>
        <w:t>2.本项目采用不见面开标，投标人开标时无需到开标现场进行解密，采取网上开标大厅解密电子响应文件，投标人远程解密要求如下：</w:t>
      </w:r>
    </w:p>
    <w:p w14:paraId="3755CAE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1）投标人使用CA数字证书进行远程解密，解密的CA数字证书与生成加密电子响应文件时的CA数字证书需为同一个CA数字证书，否则无法解密，造成的后果由投标人自行负责。</w:t>
      </w:r>
    </w:p>
    <w:p w14:paraId="4509F10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2）投标人登录苏采云系统，点击开标大厅，选择开标项目，完成不见面开标流程。</w:t>
      </w:r>
    </w:p>
    <w:p w14:paraId="1F49647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3）投标截止时间后根据系统提示解密电子响应文件。</w:t>
      </w:r>
      <w:r>
        <w:rPr>
          <w:rStyle w:val="69"/>
          <w:rFonts w:hint="eastAsia" w:ascii="宋体" w:hAnsi="宋体" w:eastAsia="宋体" w:cs="宋体"/>
          <w:i w:val="0"/>
          <w:iCs w:val="0"/>
          <w:caps w:val="0"/>
          <w:color w:val="auto"/>
          <w:spacing w:val="0"/>
          <w:sz w:val="24"/>
          <w:szCs w:val="24"/>
          <w:highlight w:val="none"/>
          <w:shd w:val="clear" w:color="auto" w:fill="FFFFFF"/>
          <w:lang w:val="en-US" w:eastAsia="zh-CN" w:bidi="ar"/>
        </w:rPr>
        <w:t>解密时间为15分钟，</w:t>
      </w:r>
      <w:r>
        <w:rPr>
          <w:rFonts w:hint="eastAsia" w:ascii="宋体" w:hAnsi="宋体" w:eastAsia="宋体" w:cs="宋体"/>
          <w:i w:val="0"/>
          <w:iCs w:val="0"/>
          <w:caps w:val="0"/>
          <w:color w:val="auto"/>
          <w:spacing w:val="0"/>
          <w:sz w:val="24"/>
          <w:szCs w:val="24"/>
          <w:highlight w:val="none"/>
          <w:shd w:val="clear" w:color="auto" w:fill="FFFFFF"/>
          <w:lang w:val="en-US" w:eastAsia="zh-CN" w:bidi="ar"/>
        </w:rPr>
        <w:t>未在规定时间内完成解密，其响应文件将被拒绝，不参与后续投标流程。</w:t>
      </w:r>
    </w:p>
    <w:p w14:paraId="0421F19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4）在开标、评标过程中投标单位代表须在网上不见面开标系统中保持在线状态，以应对可能发生的澄清、说明等回复，由于投标单位代表不在线所造成的一切后果由投标人自行承担。</w:t>
      </w:r>
    </w:p>
    <w:p w14:paraId="5A7A628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3.</w:t>
      </w:r>
      <w:r>
        <w:rPr>
          <w:rStyle w:val="69"/>
          <w:rFonts w:hint="eastAsia" w:ascii="宋体" w:hAnsi="宋体" w:eastAsia="宋体" w:cs="宋体"/>
          <w:i w:val="0"/>
          <w:iCs w:val="0"/>
          <w:caps w:val="0"/>
          <w:color w:val="auto"/>
          <w:spacing w:val="0"/>
          <w:sz w:val="24"/>
          <w:szCs w:val="24"/>
          <w:highlight w:val="none"/>
          <w:shd w:val="clear" w:color="auto" w:fill="FFFFFF"/>
          <w:lang w:val="en-US" w:eastAsia="zh-CN" w:bidi="ar"/>
        </w:rPr>
        <w:t>有关苏采云系统驱动安装，</w:t>
      </w:r>
      <w:r>
        <w:rPr>
          <w:rFonts w:hint="eastAsia" w:ascii="宋体" w:hAnsi="宋体" w:eastAsia="宋体" w:cs="宋体"/>
          <w:i w:val="0"/>
          <w:iCs w:val="0"/>
          <w:caps w:val="0"/>
          <w:color w:val="auto"/>
          <w:spacing w:val="0"/>
          <w:sz w:val="24"/>
          <w:szCs w:val="24"/>
          <w:highlight w:val="none"/>
          <w:shd w:val="clear" w:color="auto" w:fill="FFFFFF"/>
          <w:lang w:val="en-US" w:eastAsia="zh-CN" w:bidi="ar"/>
        </w:rPr>
        <w:t>登录苏州政府采购网，点击页面底部苏采云图标，进入苏采云政府采购一体化平台，点击“驱动下载”，下载</w:t>
      </w:r>
      <w:r>
        <w:rPr>
          <w:rStyle w:val="69"/>
          <w:rFonts w:hint="eastAsia" w:ascii="宋体" w:hAnsi="宋体" w:eastAsia="宋体" w:cs="宋体"/>
          <w:i w:val="0"/>
          <w:iCs w:val="0"/>
          <w:caps w:val="0"/>
          <w:color w:val="auto"/>
          <w:spacing w:val="0"/>
          <w:sz w:val="24"/>
          <w:szCs w:val="24"/>
          <w:highlight w:val="none"/>
          <w:shd w:val="clear" w:color="auto" w:fill="FFFFFF"/>
          <w:lang w:val="en-US" w:eastAsia="zh-CN" w:bidi="ar"/>
        </w:rPr>
        <w:t>“政务CA、方正签章控件驱动安装包及安装说明”</w:t>
      </w:r>
      <w:r>
        <w:rPr>
          <w:rFonts w:hint="eastAsia" w:ascii="宋体" w:hAnsi="宋体" w:eastAsia="宋体" w:cs="宋体"/>
          <w:i w:val="0"/>
          <w:iCs w:val="0"/>
          <w:caps w:val="0"/>
          <w:color w:val="auto"/>
          <w:spacing w:val="0"/>
          <w:sz w:val="24"/>
          <w:szCs w:val="24"/>
          <w:highlight w:val="none"/>
          <w:shd w:val="clear" w:color="auto" w:fill="FFFFFF"/>
          <w:lang w:val="en-US" w:eastAsia="zh-CN" w:bidi="ar"/>
        </w:rPr>
        <w:t>文件，按要求安装驱动。</w:t>
      </w:r>
    </w:p>
    <w:p w14:paraId="4D7051B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w:t>
      </w:r>
      <w:r>
        <w:rPr>
          <w:rStyle w:val="69"/>
          <w:rFonts w:hint="eastAsia" w:ascii="宋体" w:hAnsi="宋体" w:eastAsia="宋体" w:cs="宋体"/>
          <w:i w:val="0"/>
          <w:iCs w:val="0"/>
          <w:caps w:val="0"/>
          <w:color w:val="auto"/>
          <w:spacing w:val="0"/>
          <w:sz w:val="24"/>
          <w:szCs w:val="24"/>
          <w:highlight w:val="none"/>
          <w:shd w:val="clear" w:color="auto" w:fill="FFFFFF"/>
          <w:lang w:val="en-US" w:eastAsia="zh-CN" w:bidi="ar"/>
        </w:rPr>
        <w:t>有关供应商注册、报名、下载电子采购文件、制作上传电子响应文件</w:t>
      </w:r>
      <w:r>
        <w:rPr>
          <w:rFonts w:hint="eastAsia" w:ascii="宋体" w:hAnsi="宋体" w:eastAsia="宋体" w:cs="宋体"/>
          <w:i w:val="0"/>
          <w:iCs w:val="0"/>
          <w:caps w:val="0"/>
          <w:color w:val="auto"/>
          <w:spacing w:val="0"/>
          <w:sz w:val="24"/>
          <w:szCs w:val="24"/>
          <w:highlight w:val="none"/>
          <w:shd w:val="clear" w:color="auto" w:fill="FFFFFF"/>
          <w:lang w:val="en-US" w:eastAsia="zh-CN" w:bidi="ar"/>
        </w:rPr>
        <w:t>、不见面开标及其他注意事项登录苏州政府采购网，在“下载中心”栏目下载“</w:t>
      </w:r>
      <w:r>
        <w:rPr>
          <w:rStyle w:val="69"/>
          <w:rFonts w:hint="eastAsia" w:ascii="宋体" w:hAnsi="宋体" w:eastAsia="宋体" w:cs="宋体"/>
          <w:i w:val="0"/>
          <w:iCs w:val="0"/>
          <w:caps w:val="0"/>
          <w:color w:val="auto"/>
          <w:spacing w:val="0"/>
          <w:sz w:val="24"/>
          <w:szCs w:val="24"/>
          <w:highlight w:val="none"/>
          <w:shd w:val="clear" w:color="auto" w:fill="FFFFFF"/>
          <w:lang w:val="en-US" w:eastAsia="zh-CN" w:bidi="ar"/>
        </w:rPr>
        <w:t>苏采云系统供应商操作手册”</w:t>
      </w:r>
      <w:r>
        <w:rPr>
          <w:rFonts w:hint="eastAsia" w:ascii="宋体" w:hAnsi="宋体" w:eastAsia="宋体" w:cs="宋体"/>
          <w:i w:val="0"/>
          <w:iCs w:val="0"/>
          <w:caps w:val="0"/>
          <w:color w:val="auto"/>
          <w:spacing w:val="0"/>
          <w:sz w:val="24"/>
          <w:szCs w:val="24"/>
          <w:highlight w:val="none"/>
          <w:shd w:val="clear" w:color="auto" w:fill="FFFFFF"/>
          <w:lang w:val="en-US" w:eastAsia="zh-CN" w:bidi="ar"/>
        </w:rPr>
        <w:t>查阅。</w:t>
      </w:r>
    </w:p>
    <w:p w14:paraId="246A349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2"/>
        <w:jc w:val="left"/>
        <w:rPr>
          <w:rStyle w:val="69"/>
          <w:rFonts w:hint="eastAsia" w:ascii="宋体" w:hAnsi="宋体" w:eastAsia="宋体" w:cs="宋体"/>
          <w:i w:val="0"/>
          <w:iCs w:val="0"/>
          <w:caps w:val="0"/>
          <w:color w:val="auto"/>
          <w:spacing w:val="0"/>
          <w:sz w:val="24"/>
          <w:szCs w:val="24"/>
          <w:highlight w:val="none"/>
          <w:shd w:val="clear" w:color="auto" w:fill="FFFFFF"/>
          <w:lang w:val="en-US" w:eastAsia="zh-CN" w:bidi="ar"/>
        </w:rPr>
      </w:pPr>
      <w:r>
        <w:rPr>
          <w:rStyle w:val="69"/>
          <w:rFonts w:hint="eastAsia" w:ascii="宋体" w:hAnsi="宋体" w:eastAsia="宋体" w:cs="宋体"/>
          <w:i w:val="0"/>
          <w:iCs w:val="0"/>
          <w:caps w:val="0"/>
          <w:color w:val="auto"/>
          <w:spacing w:val="0"/>
          <w:sz w:val="24"/>
          <w:szCs w:val="24"/>
          <w:highlight w:val="none"/>
          <w:shd w:val="clear" w:color="auto" w:fill="FFFFFF"/>
          <w:lang w:val="en-US" w:eastAsia="zh-CN" w:bidi="ar"/>
        </w:rPr>
        <w:t>5.有关办理CA数字申领及电子签章事项，登录苏州政府采购网，点击页面底部苏采云图标，进入苏采云政府采购一体化平台，下载“新CA办理指南”文件查阅。</w:t>
      </w:r>
    </w:p>
    <w:p w14:paraId="7EEB48E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6.有关电子投标制作技术疑问，请咨询苏采云软件公司客服：18261002950、0512-69820854、0519-86722802</w:t>
      </w:r>
    </w:p>
    <w:p w14:paraId="47EC65D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7.政府采购监督电话：0512-53512539</w:t>
      </w:r>
    </w:p>
    <w:p w14:paraId="6861787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8.本次磋商保证金：本项目无须缴纳磋商保证金。</w:t>
      </w:r>
    </w:p>
    <w:p w14:paraId="576702ED">
      <w:pPr>
        <w:keepNext w:val="0"/>
        <w:keepLines w:val="0"/>
        <w:pageBreakBefore w:val="0"/>
        <w:widowControl/>
        <w:spacing w:line="360" w:lineRule="auto"/>
        <w:ind w:firstLine="47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政府采购履约资金扶持政策：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供应商可凭政府采购合同办理融资贷款，详情请见江苏政府采购网‘政采贷’专栏。</w:t>
      </w:r>
    </w:p>
    <w:p w14:paraId="054C2CAB">
      <w:pPr>
        <w:keepNext w:val="0"/>
        <w:keepLines w:val="0"/>
        <w:pageBreakBefore w:val="0"/>
        <w:widowControl/>
        <w:spacing w:line="360" w:lineRule="auto"/>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10.履约保证金：银行保函的形式，担保金额为成交总价的</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%，担保期限至项目验收合格。</w:t>
      </w:r>
    </w:p>
    <w:p w14:paraId="54C78A32">
      <w:pPr>
        <w:keepNext w:val="0"/>
        <w:keepLines w:val="0"/>
        <w:pageBreakBefore w:val="0"/>
        <w:widowControl/>
        <w:spacing w:line="360" w:lineRule="auto"/>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代理服务费：代理服务费由</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人承担。代理服务费按预算金额100万元以内1.5%、100～500万元1.1%、500～1000万元0.8%、1000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5000万元0.5%按差额定率累进法计算，该费用应在领取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通知书前由</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供应商支付给采购代理机构。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单位需考虑此项费用。</w:t>
      </w:r>
    </w:p>
    <w:p w14:paraId="35FEE5A6">
      <w:pPr>
        <w:pStyle w:val="24"/>
        <w:keepNext w:val="0"/>
        <w:keepLines w:val="0"/>
        <w:pageBreakBefore w:val="0"/>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highlight w:val="none"/>
        </w:rPr>
        <w:t>七、对本次招标提出询问，请按以下方式联系</w:t>
      </w:r>
    </w:p>
    <w:p w14:paraId="72210067">
      <w:pPr>
        <w:keepNext w:val="0"/>
        <w:keepLines w:val="0"/>
        <w:pageBreakBefore w:val="0"/>
        <w:widowControl/>
        <w:spacing w:line="360" w:lineRule="auto"/>
        <w:ind w:firstLine="47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采</w:t>
      </w:r>
      <w:r>
        <w:rPr>
          <w:rFonts w:hint="eastAsia" w:ascii="宋体" w:hAnsi="宋体" w:eastAsia="宋体" w:cs="宋体"/>
          <w:color w:val="auto"/>
          <w:sz w:val="24"/>
          <w:szCs w:val="24"/>
          <w:highlight w:val="none"/>
          <w:lang w:eastAsia="zh-CN"/>
        </w:rPr>
        <w:t>购人信息</w:t>
      </w:r>
    </w:p>
    <w:p w14:paraId="09E3FF1B">
      <w:pPr>
        <w:keepNext w:val="0"/>
        <w:keepLines w:val="0"/>
        <w:pageBreakBefore w:val="0"/>
        <w:widowControl/>
        <w:spacing w:line="360" w:lineRule="auto"/>
        <w:ind w:firstLine="470"/>
        <w:rPr>
          <w:rFonts w:hint="eastAsia" w:ascii="宋体" w:hAnsi="宋体" w:eastAsia="宋体" w:cs="宋体"/>
          <w:color w:val="auto"/>
          <w:sz w:val="24"/>
          <w:szCs w:val="24"/>
          <w:highlight w:val="none"/>
          <w:lang w:eastAsia="zh-CN"/>
        </w:rPr>
      </w:pPr>
      <w:bookmarkStart w:id="8" w:name="_Hlk69823300"/>
      <w:r>
        <w:rPr>
          <w:rFonts w:hint="eastAsia" w:ascii="宋体" w:hAnsi="宋体" w:eastAsia="宋体" w:cs="宋体"/>
          <w:color w:val="auto"/>
          <w:sz w:val="24"/>
          <w:szCs w:val="24"/>
          <w:highlight w:val="none"/>
          <w:lang w:eastAsia="zh-CN"/>
        </w:rPr>
        <w:t>名称：</w:t>
      </w:r>
      <w:bookmarkEnd w:id="8"/>
      <w:r>
        <w:rPr>
          <w:rFonts w:hint="eastAsia" w:ascii="宋体" w:hAnsi="宋体" w:eastAsia="宋体" w:cs="宋体"/>
          <w:color w:val="auto"/>
          <w:sz w:val="24"/>
          <w:szCs w:val="24"/>
          <w:highlight w:val="none"/>
          <w:lang w:eastAsia="zh-CN"/>
        </w:rPr>
        <w:t>太仓市人民政府陆渡街道办事处</w:t>
      </w:r>
    </w:p>
    <w:p w14:paraId="2C369A7A">
      <w:pPr>
        <w:keepNext w:val="0"/>
        <w:keepLines w:val="0"/>
        <w:pageBreakBefore w:val="0"/>
        <w:widowControl/>
        <w:spacing w:line="360" w:lineRule="auto"/>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地址</w:t>
      </w:r>
      <w:r>
        <w:rPr>
          <w:rFonts w:hint="eastAsia" w:ascii="宋体" w:hAnsi="宋体" w:eastAsia="宋体" w:cs="宋体"/>
          <w:color w:val="auto"/>
          <w:sz w:val="24"/>
          <w:szCs w:val="24"/>
          <w:highlight w:val="none"/>
          <w:lang w:val="en-US" w:eastAsia="zh-CN"/>
        </w:rPr>
        <w:t>：太仓市</w:t>
      </w:r>
      <w:r>
        <w:rPr>
          <w:rFonts w:hint="eastAsia" w:ascii="宋体" w:hAnsi="宋体" w:eastAsia="宋体" w:cs="宋体"/>
          <w:color w:val="auto"/>
          <w:sz w:val="24"/>
          <w:szCs w:val="24"/>
          <w:highlight w:val="none"/>
          <w:lang w:eastAsia="zh-CN"/>
        </w:rPr>
        <w:t>民安路1号</w:t>
      </w:r>
    </w:p>
    <w:p w14:paraId="2BE198E9">
      <w:pPr>
        <w:keepNext w:val="0"/>
        <w:keepLines w:val="0"/>
        <w:pageBreakBefore w:val="0"/>
        <w:widowControl/>
        <w:spacing w:line="360" w:lineRule="auto"/>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lang w:val="en-US" w:eastAsia="zh-CN"/>
        </w:rPr>
        <w:t>王瑾瑜      联系电话：0512-53306029</w:t>
      </w:r>
    </w:p>
    <w:p w14:paraId="14A6B98A">
      <w:pPr>
        <w:keepNext w:val="0"/>
        <w:keepLines w:val="0"/>
        <w:pageBreakBefore w:val="0"/>
        <w:widowControl/>
        <w:spacing w:line="360" w:lineRule="auto"/>
        <w:ind w:firstLine="47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采购代理机构信息</w:t>
      </w:r>
    </w:p>
    <w:p w14:paraId="7711EE5C">
      <w:pPr>
        <w:keepNext w:val="0"/>
        <w:keepLines w:val="0"/>
        <w:pageBreakBefore w:val="0"/>
        <w:widowControl/>
        <w:spacing w:line="360" w:lineRule="auto"/>
        <w:ind w:firstLine="47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名称：苏州泛亚万隆建设工程咨询有限公司</w:t>
      </w:r>
    </w:p>
    <w:p w14:paraId="39D56D2D">
      <w:pPr>
        <w:keepNext w:val="0"/>
        <w:keepLines w:val="0"/>
        <w:pageBreakBefore w:val="0"/>
        <w:widowControl/>
        <w:spacing w:line="360" w:lineRule="auto"/>
        <w:ind w:firstLine="47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地址：太仓市锦州路89-5号</w:t>
      </w:r>
    </w:p>
    <w:p w14:paraId="75D1E9E4">
      <w:pPr>
        <w:keepNext w:val="0"/>
        <w:keepLines w:val="0"/>
        <w:pageBreakBefore w:val="0"/>
        <w:widowControl/>
        <w:spacing w:line="360" w:lineRule="auto"/>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杜士向      联系电话：</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862600335</w:t>
      </w:r>
    </w:p>
    <w:p w14:paraId="1EF65639">
      <w:pPr>
        <w:keepNext w:val="0"/>
        <w:keepLines w:val="0"/>
        <w:pageBreakBefore w:val="0"/>
        <w:widowControl/>
        <w:spacing w:line="360" w:lineRule="auto"/>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项目联系方式</w:t>
      </w:r>
    </w:p>
    <w:bookmarkEnd w:id="4"/>
    <w:bookmarkEnd w:id="5"/>
    <w:bookmarkEnd w:id="6"/>
    <w:bookmarkEnd w:id="7"/>
    <w:p w14:paraId="65381B1C">
      <w:pPr>
        <w:keepNext w:val="0"/>
        <w:keepLines w:val="0"/>
        <w:pageBreakBefore w:val="0"/>
        <w:widowControl/>
        <w:spacing w:line="360" w:lineRule="auto"/>
        <w:ind w:firstLine="470"/>
        <w:rPr>
          <w:rFonts w:hint="eastAsia" w:ascii="宋体" w:hAnsi="宋体" w:eastAsia="宋体" w:cs="宋体"/>
          <w:color w:val="auto"/>
          <w:sz w:val="24"/>
          <w:szCs w:val="24"/>
          <w:highlight w:val="none"/>
          <w:lang w:val="en-US" w:eastAsia="zh-CN"/>
        </w:rPr>
      </w:pPr>
      <w:bookmarkStart w:id="9" w:name="_Toc315875314"/>
      <w:bookmarkStart w:id="10" w:name="_Toc315868051"/>
      <w:bookmarkStart w:id="11" w:name="_Toc467507030"/>
      <w:bookmarkStart w:id="12" w:name="_Toc158691767"/>
      <w:r>
        <w:rPr>
          <w:rFonts w:hint="eastAsia" w:ascii="宋体" w:hAnsi="宋体" w:eastAsia="宋体" w:cs="宋体"/>
          <w:color w:val="auto"/>
          <w:sz w:val="24"/>
          <w:szCs w:val="24"/>
          <w:highlight w:val="none"/>
        </w:rPr>
        <w:t>联系</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杜士向      联系电话：</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862600335</w:t>
      </w:r>
    </w:p>
    <w:p w14:paraId="2E729AA7">
      <w:pPr>
        <w:pStyle w:val="24"/>
        <w:spacing w:line="480" w:lineRule="auto"/>
        <w:jc w:val="lef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p>
    <w:p w14:paraId="010DF333">
      <w:pPr>
        <w:pStyle w:val="25"/>
        <w:keepNext w:val="0"/>
        <w:keepLines w:val="0"/>
        <w:pageBreakBefore w:val="0"/>
        <w:widowControl w:val="0"/>
        <w:spacing w:line="360" w:lineRule="auto"/>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第二部分  投标人须知</w:t>
      </w:r>
      <w:bookmarkEnd w:id="9"/>
      <w:bookmarkEnd w:id="10"/>
      <w:bookmarkEnd w:id="11"/>
      <w:bookmarkEnd w:id="12"/>
    </w:p>
    <w:p w14:paraId="56B887CC">
      <w:pPr>
        <w:keepNext w:val="0"/>
        <w:keepLines w:val="0"/>
        <w:pageBreakBefore w:val="0"/>
        <w:widowControl w:val="0"/>
        <w:spacing w:line="360" w:lineRule="auto"/>
        <w:rPr>
          <w:rFonts w:hint="eastAsia" w:ascii="宋体" w:hAnsi="宋体" w:eastAsia="宋体" w:cs="宋体"/>
          <w:b/>
          <w:color w:val="auto"/>
          <w:sz w:val="24"/>
          <w:szCs w:val="24"/>
          <w:highlight w:val="none"/>
        </w:rPr>
      </w:pPr>
      <w:bookmarkStart w:id="13" w:name="_Toc467507043"/>
      <w:bookmarkStart w:id="14" w:name="_Toc158691774"/>
      <w:bookmarkStart w:id="15" w:name="_Toc315875321"/>
      <w:bookmarkStart w:id="16" w:name="_Toc315868058"/>
      <w:bookmarkStart w:id="17" w:name="_Toc467507037"/>
      <w:r>
        <w:rPr>
          <w:rFonts w:hint="eastAsia" w:ascii="宋体" w:hAnsi="宋体" w:eastAsia="宋体" w:cs="宋体"/>
          <w:b/>
          <w:color w:val="auto"/>
          <w:sz w:val="24"/>
          <w:szCs w:val="24"/>
          <w:highlight w:val="none"/>
        </w:rPr>
        <w:t>1.总则</w:t>
      </w:r>
    </w:p>
    <w:p w14:paraId="39671071">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1.1采购方式及定义</w:t>
      </w:r>
    </w:p>
    <w:p w14:paraId="266F302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本次采购采用竞争性磋商方式（以下简称磋商），本竞争性磋商文件仅适用于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公告中所述项目。</w:t>
      </w:r>
    </w:p>
    <w:p w14:paraId="304AE7D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采购人指本项目的需求方</w:t>
      </w:r>
      <w:r>
        <w:rPr>
          <w:rFonts w:hint="eastAsia" w:ascii="宋体" w:hAnsi="宋体" w:eastAsia="宋体" w:cs="宋体"/>
          <w:color w:val="auto"/>
          <w:sz w:val="24"/>
          <w:szCs w:val="24"/>
          <w:highlight w:val="none"/>
          <w:lang w:eastAsia="zh-CN"/>
        </w:rPr>
        <w:t>太仓市人民政府陆渡街道办事处</w:t>
      </w:r>
      <w:r>
        <w:rPr>
          <w:rFonts w:hint="eastAsia" w:ascii="宋体" w:hAnsi="宋体" w:eastAsia="宋体" w:cs="宋体"/>
          <w:color w:val="auto"/>
          <w:sz w:val="24"/>
          <w:szCs w:val="24"/>
          <w:highlight w:val="none"/>
        </w:rPr>
        <w:t>。</w:t>
      </w:r>
    </w:p>
    <w:p w14:paraId="693A73C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采购代理机构指负责组织本次竞争性磋商的</w:t>
      </w:r>
      <w:r>
        <w:rPr>
          <w:rFonts w:hint="eastAsia" w:ascii="宋体" w:hAnsi="宋体" w:eastAsia="宋体" w:cs="宋体"/>
          <w:color w:val="auto"/>
          <w:sz w:val="24"/>
          <w:szCs w:val="24"/>
          <w:highlight w:val="none"/>
          <w:lang w:eastAsia="zh-CN"/>
        </w:rPr>
        <w:t>苏州泛亚万隆建设工程咨询有限公司</w:t>
      </w:r>
      <w:r>
        <w:rPr>
          <w:rFonts w:hint="eastAsia" w:ascii="宋体" w:hAnsi="宋体" w:eastAsia="宋体" w:cs="宋体"/>
          <w:color w:val="auto"/>
          <w:sz w:val="24"/>
          <w:szCs w:val="24"/>
          <w:highlight w:val="none"/>
        </w:rPr>
        <w:t>。</w:t>
      </w:r>
    </w:p>
    <w:p w14:paraId="797EB096">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1.2合格的供应商</w:t>
      </w:r>
    </w:p>
    <w:p w14:paraId="5F449E6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1.2.1满足</w:t>
      </w:r>
      <w:r>
        <w:rPr>
          <w:rFonts w:hint="eastAsia" w:ascii="宋体" w:hAnsi="宋体" w:eastAsia="宋体" w:cs="宋体"/>
          <w:color w:val="auto"/>
          <w:sz w:val="24"/>
          <w:szCs w:val="24"/>
          <w:highlight w:val="none"/>
          <w:lang w:eastAsia="zh-CN"/>
        </w:rPr>
        <w:t>采购公告</w:t>
      </w:r>
      <w:r>
        <w:rPr>
          <w:rFonts w:hint="eastAsia" w:ascii="宋体" w:hAnsi="宋体" w:eastAsia="宋体" w:cs="宋体"/>
          <w:color w:val="auto"/>
          <w:sz w:val="24"/>
          <w:szCs w:val="24"/>
          <w:highlight w:val="none"/>
        </w:rPr>
        <w:t>中供应商的资格条件的规定。</w:t>
      </w:r>
    </w:p>
    <w:p w14:paraId="0E783C38">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1.2.2满足本文件实质性条款的规定。</w:t>
      </w:r>
    </w:p>
    <w:p w14:paraId="0793CA68">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1.3适用法律</w:t>
      </w:r>
    </w:p>
    <w:p w14:paraId="75C98CE6">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本次竞争性磋商及由此产生的合同受中华人民共和国有关的法律法规制约和保护。</w:t>
      </w:r>
    </w:p>
    <w:p w14:paraId="317EDCB7">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1.4磋商费用</w:t>
      </w:r>
    </w:p>
    <w:p w14:paraId="2543FBF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供应商应自行承担所有与参加磋商有关的费用，无论磋商过程中的做法和结果如何，</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在任何情况下均无义务和责任承担这些费用。</w:t>
      </w:r>
    </w:p>
    <w:p w14:paraId="7684DFFA">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1.5竞争性磋商文件的约束力</w:t>
      </w:r>
    </w:p>
    <w:p w14:paraId="216BD20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供应商一旦下载了本竞争性磋商文件并决定参加磋商，即被认为接受了本竞争性磋商文件的规定和约束，并且视为自</w:t>
      </w:r>
      <w:r>
        <w:rPr>
          <w:rFonts w:hint="eastAsia" w:ascii="宋体" w:hAnsi="宋体" w:eastAsia="宋体" w:cs="宋体"/>
          <w:color w:val="auto"/>
          <w:sz w:val="24"/>
          <w:szCs w:val="24"/>
          <w:highlight w:val="none"/>
          <w:lang w:eastAsia="zh-CN"/>
        </w:rPr>
        <w:t>采购公告</w:t>
      </w:r>
      <w:r>
        <w:rPr>
          <w:rFonts w:hint="eastAsia" w:ascii="宋体" w:hAnsi="宋体" w:eastAsia="宋体" w:cs="宋体"/>
          <w:color w:val="auto"/>
          <w:sz w:val="24"/>
          <w:szCs w:val="24"/>
          <w:highlight w:val="none"/>
        </w:rPr>
        <w:t>期限届满之日起已经知道或应当知道自身权益是否受到了损害。</w:t>
      </w:r>
    </w:p>
    <w:p w14:paraId="30D236B8">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2.竞争性磋商文件</w:t>
      </w:r>
    </w:p>
    <w:p w14:paraId="46013A8D">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2.1竞争性磋商文件构成:竞争性磋商文件有以下部分组成：</w:t>
      </w:r>
    </w:p>
    <w:p w14:paraId="75806F22">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公告</w:t>
      </w:r>
    </w:p>
    <w:p w14:paraId="58A4255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2.1.2供应商须知</w:t>
      </w:r>
    </w:p>
    <w:p w14:paraId="54B6C24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w:t>
      </w:r>
      <w:r>
        <w:rPr>
          <w:rFonts w:hint="eastAsia" w:ascii="宋体" w:hAnsi="宋体" w:eastAsia="宋体" w:cs="宋体"/>
          <w:color w:val="auto"/>
          <w:sz w:val="24"/>
          <w:szCs w:val="24"/>
          <w:highlight w:val="none"/>
          <w:lang w:eastAsia="zh-CN"/>
        </w:rPr>
        <w:t>采购需求</w:t>
      </w:r>
    </w:p>
    <w:p w14:paraId="490C374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2.1.4响应文件格式</w:t>
      </w:r>
    </w:p>
    <w:p w14:paraId="7997B5E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w:t>
      </w:r>
      <w:r>
        <w:rPr>
          <w:rFonts w:hint="eastAsia" w:ascii="宋体" w:hAnsi="宋体" w:eastAsia="宋体" w:cs="宋体"/>
          <w:color w:val="auto"/>
          <w:sz w:val="24"/>
          <w:szCs w:val="24"/>
          <w:highlight w:val="none"/>
          <w:lang w:eastAsia="zh-CN"/>
        </w:rPr>
        <w:t>磋商成交原则及评分标准</w:t>
      </w:r>
    </w:p>
    <w:p w14:paraId="166E430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2.1.6</w:t>
      </w:r>
      <w:r>
        <w:rPr>
          <w:rFonts w:hint="eastAsia" w:ascii="宋体" w:hAnsi="宋体" w:eastAsia="宋体" w:cs="宋体"/>
          <w:color w:val="auto"/>
          <w:sz w:val="24"/>
          <w:szCs w:val="24"/>
          <w:highlight w:val="none"/>
          <w:lang w:eastAsia="zh-CN"/>
        </w:rPr>
        <w:t>合同主要条款</w:t>
      </w:r>
    </w:p>
    <w:p w14:paraId="6BF66D1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请仔细检查竞争性磋商文件是否齐全，如有缺漏请立即与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联系解决。</w:t>
      </w:r>
    </w:p>
    <w:p w14:paraId="56CC586E">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2.2竞争性磋商文件的澄清及修改</w:t>
      </w:r>
    </w:p>
    <w:p w14:paraId="39383756">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2.2.1采购代理单位无论出于自己的考虑，还是出于对响应人提问的澄清，均可对磋商文件用更正公告的方式进行澄清或者修改，并通过苏州政府采购网、江苏省政府采购网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对外进行发布。更正公告将作为磋商文件的组成部分，对所有响应人有约束力。</w:t>
      </w:r>
    </w:p>
    <w:p w14:paraId="4FD4438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2.2.2为使响应人有足够的时间按磋商文件的修改要求考虑修正响应文件，或出于其他原因，采购代理单位有权推迟响应截止日期和磋商日期，并将此变更通知以更正公告的形式对外发布。</w:t>
      </w:r>
    </w:p>
    <w:p w14:paraId="5D330F1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2.2.3磋商文件的澄清、修改、补充等内容均以苏州政府采购网、江苏省政府采购网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上发布的内容为准。</w:t>
      </w:r>
    </w:p>
    <w:p w14:paraId="7D98523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w:t>
      </w:r>
      <w:r>
        <w:rPr>
          <w:rFonts w:hint="eastAsia" w:ascii="宋体" w:hAnsi="宋体" w:eastAsia="宋体" w:cs="宋体"/>
          <w:b/>
          <w:bCs/>
          <w:color w:val="auto"/>
          <w:sz w:val="24"/>
          <w:szCs w:val="24"/>
          <w:highlight w:val="none"/>
        </w:rPr>
        <w:t>磋商文件</w:t>
      </w:r>
      <w:r>
        <w:rPr>
          <w:rFonts w:hint="eastAsia" w:ascii="宋体" w:hAnsi="宋体" w:eastAsia="宋体" w:cs="宋体"/>
          <w:b/>
          <w:color w:val="auto"/>
          <w:sz w:val="24"/>
          <w:szCs w:val="24"/>
          <w:highlight w:val="none"/>
        </w:rPr>
        <w:t>若有最新的答疑文件，响应供应商必须下载并使用该文件制作新的电子响应文件，否则将无法完成电子响应文件的上传及磋商</w:t>
      </w:r>
      <w:r>
        <w:rPr>
          <w:rFonts w:hint="eastAsia" w:ascii="宋体" w:hAnsi="宋体" w:eastAsia="宋体" w:cs="宋体"/>
          <w:color w:val="auto"/>
          <w:sz w:val="24"/>
          <w:szCs w:val="24"/>
          <w:highlight w:val="none"/>
        </w:rPr>
        <w:t>。</w:t>
      </w:r>
    </w:p>
    <w:p w14:paraId="627A9A10">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t>响应文件编制</w:t>
      </w:r>
    </w:p>
    <w:p w14:paraId="6D6004C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2.3.1电子响应文件编制要求：响应供应商</w:t>
      </w:r>
      <w:r>
        <w:rPr>
          <w:rFonts w:hint="eastAsia" w:ascii="宋体" w:hAnsi="宋体" w:eastAsia="宋体" w:cs="宋体"/>
          <w:b/>
          <w:color w:val="auto"/>
          <w:sz w:val="24"/>
          <w:szCs w:val="24"/>
          <w:highlight w:val="none"/>
        </w:rPr>
        <w:t>应使用磋商文件要求的电子响应软件制作电子加密响应文件</w:t>
      </w:r>
      <w:r>
        <w:rPr>
          <w:rFonts w:hint="eastAsia" w:ascii="宋体" w:hAnsi="宋体" w:eastAsia="宋体" w:cs="宋体"/>
          <w:color w:val="auto"/>
          <w:sz w:val="24"/>
          <w:szCs w:val="24"/>
          <w:highlight w:val="none"/>
        </w:rPr>
        <w:t>，电子加密响应文件按磋商文件规定的格式制作，如果未按要求制作上传，可能导致响应无效。</w:t>
      </w:r>
    </w:p>
    <w:p w14:paraId="3A681A4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2.3.2供应商应当按照磋商文件的要求编制响应文件，并对其提交的响应文件的真实性、合法性承担法律责任。</w:t>
      </w:r>
    </w:p>
    <w:p w14:paraId="58E9C2A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2.3.3响应文件的语言及度量衡单位：</w:t>
      </w:r>
    </w:p>
    <w:p w14:paraId="2CBD008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2.3.3.1供应商提交的响应文件以及供应商与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就有关磋商的所有来往通知、函件和文件均应使用简体中文。</w:t>
      </w:r>
    </w:p>
    <w:p w14:paraId="20232C6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2.3.3.2除技术性能另有规定外，响应文件所使用的度量衡单位，均须采用国家法定计量单位。</w:t>
      </w:r>
    </w:p>
    <w:p w14:paraId="5EE2C9FB">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2.3.4磋商响应文件构成（按要求签章）</w:t>
      </w:r>
    </w:p>
    <w:p w14:paraId="2D78ED74">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2.3.4.1封面</w:t>
      </w:r>
    </w:p>
    <w:p w14:paraId="15517B3B">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2.3.4.2磋商报价表</w:t>
      </w:r>
    </w:p>
    <w:p w14:paraId="6AF056BF">
      <w:pPr>
        <w:keepNext w:val="0"/>
        <w:keepLines w:val="0"/>
        <w:pageBreakBefore w:val="0"/>
        <w:widowControl w:val="0"/>
        <w:spacing w:line="360" w:lineRule="auto"/>
        <w:ind w:firstLine="48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2.3.4.3磋商报价明细表</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本项目无须提供</w:t>
      </w:r>
      <w:r>
        <w:rPr>
          <w:rFonts w:hint="eastAsia" w:ascii="宋体" w:hAnsi="宋体" w:eastAsia="宋体" w:cs="宋体"/>
          <w:b/>
          <w:color w:val="auto"/>
          <w:sz w:val="24"/>
          <w:szCs w:val="24"/>
          <w:highlight w:val="none"/>
          <w:lang w:eastAsia="zh-CN"/>
        </w:rPr>
        <w:t>）</w:t>
      </w:r>
    </w:p>
    <w:p w14:paraId="14D55315">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2.3.4.4磋商响应函（见附件格式）</w:t>
      </w:r>
    </w:p>
    <w:p w14:paraId="24DE59D4">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2.3.4.5关于资格文件的声明函（见附件格式）</w:t>
      </w:r>
    </w:p>
    <w:p w14:paraId="59D29551">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2.3.4.6磋商供应商情况表（见附件格式）</w:t>
      </w:r>
    </w:p>
    <w:p w14:paraId="2F59BD9A">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2.3.4.7响应供应商的合法有效证件（营业执照副本复印件或其他组织有效证照等）</w:t>
      </w:r>
    </w:p>
    <w:p w14:paraId="09D3E821">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2.3.4.8磋商供应商法定代表人身份证复印件</w:t>
      </w:r>
    </w:p>
    <w:p w14:paraId="14FDDB69">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2.3.4.9法定代表人授权委托书原件（若有授权）</w:t>
      </w:r>
    </w:p>
    <w:p w14:paraId="6F359E3E">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2.3.4.10授权代理人身份证复印件（若有授权）</w:t>
      </w:r>
    </w:p>
    <w:p w14:paraId="1CC7E520">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2.3.4.11参加本次政府采购活动前的财务状况报告或者银行出具的资信证明</w:t>
      </w:r>
    </w:p>
    <w:p w14:paraId="33E04E7C">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2.3.4.12具有履行合同所必需的设备和专业技术能力证明材料</w:t>
      </w:r>
    </w:p>
    <w:p w14:paraId="031C6D8E">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2.3.4.13参加本次政府采购活动前半年（至少</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个月）依法缴纳税收和社会保障资金的相关材料</w:t>
      </w:r>
    </w:p>
    <w:p w14:paraId="01F13581">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2.3.4.14参加政府采购活动前3年内在经营活动中没有重大违法记录的书面声明（见附件格式）</w:t>
      </w:r>
    </w:p>
    <w:p w14:paraId="081BB4C6">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2.3.4.1</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中小企业声明函</w:t>
      </w:r>
    </w:p>
    <w:p w14:paraId="3944FEE6">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2.3.4.1</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残疾人福利性单位声明函（如有）</w:t>
      </w:r>
    </w:p>
    <w:p w14:paraId="514570FA">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2.3.4.1</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合格供应商特定资格条件的证明材料</w:t>
      </w:r>
    </w:p>
    <w:p w14:paraId="46CB452D">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2.3.4.1</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技术（服务）要求偏离表</w:t>
      </w:r>
    </w:p>
    <w:p w14:paraId="423543DD">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w:t>
      </w:r>
      <w:r>
        <w:rPr>
          <w:rFonts w:hint="eastAsia" w:ascii="宋体" w:hAnsi="宋体" w:eastAsia="宋体" w:cs="宋体"/>
          <w:b/>
          <w:color w:val="auto"/>
          <w:sz w:val="24"/>
          <w:szCs w:val="24"/>
          <w:highlight w:val="none"/>
          <w:lang w:val="en-US" w:eastAsia="zh-CN"/>
        </w:rPr>
        <w:t>19</w:t>
      </w:r>
      <w:r>
        <w:rPr>
          <w:rFonts w:hint="eastAsia" w:ascii="宋体" w:hAnsi="宋体" w:eastAsia="宋体" w:cs="宋体"/>
          <w:b/>
          <w:color w:val="auto"/>
          <w:sz w:val="24"/>
          <w:szCs w:val="24"/>
          <w:highlight w:val="none"/>
        </w:rPr>
        <w:t>商务条款偏离表</w:t>
      </w:r>
    </w:p>
    <w:p w14:paraId="321E0A3C">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2.3.4.2</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项目实施方案</w:t>
      </w:r>
    </w:p>
    <w:p w14:paraId="44784587">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2.3.4.2</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供应商类似项目业绩</w:t>
      </w:r>
    </w:p>
    <w:p w14:paraId="578546DE">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2.3.4.2</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投入本项目的专业技术人员情况</w:t>
      </w:r>
    </w:p>
    <w:p w14:paraId="156679EB">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2.3.4.2</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供应商认为需要的其他技术文件或说明</w:t>
      </w:r>
    </w:p>
    <w:p w14:paraId="0B290C1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 供应商应按照竞争性磋商文件规定格式填报磋商报价表及磋商报价明细表，每项费用只允许有一个报价，任何有选择的报价将不予接受。</w:t>
      </w:r>
    </w:p>
    <w:p w14:paraId="3F76FB1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2.3.5有关报价要求</w:t>
      </w:r>
    </w:p>
    <w:p w14:paraId="464F3C9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2.3.5.1竞争性磋商报价采用固定</w:t>
      </w:r>
      <w:r>
        <w:rPr>
          <w:rFonts w:hint="eastAsia" w:ascii="宋体" w:hAnsi="宋体" w:eastAsia="宋体" w:cs="宋体"/>
          <w:color w:val="auto"/>
          <w:sz w:val="24"/>
          <w:szCs w:val="24"/>
          <w:highlight w:val="none"/>
          <w:lang w:val="en-US" w:eastAsia="zh-CN"/>
        </w:rPr>
        <w:t>全费用</w:t>
      </w:r>
      <w:r>
        <w:rPr>
          <w:rFonts w:hint="eastAsia" w:ascii="宋体" w:hAnsi="宋体" w:eastAsia="宋体" w:cs="宋体"/>
          <w:color w:val="auto"/>
          <w:sz w:val="24"/>
          <w:szCs w:val="24"/>
          <w:highlight w:val="none"/>
        </w:rPr>
        <w:t>综合单价报价，计价格式中列明的所有需要填报的单价和合价，磋商响应单位均需填报，未填报的单价和合价，视为此项费用已包含在工程量清单的其他单价和合价中。</w:t>
      </w:r>
    </w:p>
    <w:p w14:paraId="62450B4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2.3.5.2竞争性磋商文件未列明，而供应商认为必需的费用也需列入报价。</w:t>
      </w:r>
    </w:p>
    <w:p w14:paraId="29585B4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2.3.6响应文件货币</w:t>
      </w:r>
    </w:p>
    <w:p w14:paraId="258CC4C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响应文件中的货物单价和总价无特殊规定的采用人民币报价，以元为单位标注。竞争性磋商文件中另有规定的按规定执行。</w:t>
      </w:r>
    </w:p>
    <w:p w14:paraId="1182C2D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2.3.7供应商的服务承诺应按不低于竞争性磋商文件中商务要求的标准。</w:t>
      </w:r>
    </w:p>
    <w:p w14:paraId="7469A03E">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2.3.8磋商保证金</w:t>
      </w:r>
    </w:p>
    <w:p w14:paraId="65828061">
      <w:pPr>
        <w:keepNext w:val="0"/>
        <w:keepLines w:val="0"/>
        <w:pageBreakBefore w:val="0"/>
        <w:widowControl w:val="0"/>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本项目无须缴纳响应保证金</w:t>
      </w:r>
      <w:r>
        <w:rPr>
          <w:rFonts w:hint="eastAsia" w:ascii="宋体" w:hAnsi="宋体" w:eastAsia="宋体" w:cs="宋体"/>
          <w:b/>
          <w:color w:val="auto"/>
          <w:sz w:val="24"/>
          <w:szCs w:val="24"/>
          <w:highlight w:val="none"/>
        </w:rPr>
        <w:t>。</w:t>
      </w:r>
    </w:p>
    <w:p w14:paraId="7EF87203">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3.响应文件的提交、撤回和修改</w:t>
      </w:r>
    </w:p>
    <w:p w14:paraId="20F91D56">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3.1 响应文件的上传、提交</w:t>
      </w:r>
    </w:p>
    <w:p w14:paraId="4A480A3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3.1.1响应单位应将制作好的加密电子响应文件按要求在响应文件接收截止时间前</w:t>
      </w:r>
      <w:r>
        <w:rPr>
          <w:rFonts w:hint="eastAsia" w:ascii="宋体" w:hAnsi="宋体" w:eastAsia="宋体" w:cs="宋体"/>
          <w:b/>
          <w:color w:val="auto"/>
          <w:sz w:val="24"/>
          <w:szCs w:val="24"/>
          <w:highlight w:val="none"/>
        </w:rPr>
        <w:t>上传到苏采云系统平台中</w:t>
      </w:r>
      <w:r>
        <w:rPr>
          <w:rFonts w:hint="eastAsia" w:ascii="宋体" w:hAnsi="宋体" w:eastAsia="宋体" w:cs="宋体"/>
          <w:color w:val="auto"/>
          <w:sz w:val="24"/>
          <w:szCs w:val="24"/>
          <w:highlight w:val="none"/>
        </w:rPr>
        <w:t>。</w:t>
      </w:r>
    </w:p>
    <w:p w14:paraId="25129B1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3.2.响应截止时间</w:t>
      </w:r>
    </w:p>
    <w:p w14:paraId="103061B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3.2.1电子响应文件必须按磋商公告中规定的网上响应截止时间前提交，否则响应无效。</w:t>
      </w:r>
    </w:p>
    <w:p w14:paraId="4C7A663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3.2.2采购代理机构推迟响应截止时间时，应以更正公告的形式，通知所有响应单位。在这种情况下，采购代理机构和响应单位的权利和义务将受到新的截止期的约束。</w:t>
      </w:r>
    </w:p>
    <w:p w14:paraId="30B675B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3.2.3在响应截止时间止采购代理机构收到的各标段的电子响应文件少于三份的，采购代理机构有权宣布本次采购失败。</w:t>
      </w:r>
    </w:p>
    <w:p w14:paraId="17100FCA">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3.3. 响应文件的修改和撤回</w:t>
      </w:r>
    </w:p>
    <w:p w14:paraId="0037A22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3.3.1响应单位在提交响应文件截止时间前，可对其响应文件进行撤回或修改。</w:t>
      </w:r>
    </w:p>
    <w:p w14:paraId="22E9948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3.3.2磋商开始后响应单位不得撤回响应。</w:t>
      </w:r>
    </w:p>
    <w:p w14:paraId="6E80C55A">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4.磋商与评审</w:t>
      </w:r>
    </w:p>
    <w:p w14:paraId="61133ECE">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4.1磋商仪式</w:t>
      </w:r>
    </w:p>
    <w:p w14:paraId="711B496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4.1.1采购代理机构将在</w:t>
      </w:r>
      <w:r>
        <w:rPr>
          <w:rFonts w:hint="eastAsia" w:ascii="宋体" w:hAnsi="宋体" w:eastAsia="宋体" w:cs="宋体"/>
          <w:color w:val="auto"/>
          <w:sz w:val="24"/>
          <w:szCs w:val="24"/>
          <w:highlight w:val="none"/>
          <w:lang w:eastAsia="zh-CN"/>
        </w:rPr>
        <w:t>采购公告</w:t>
      </w:r>
      <w:r>
        <w:rPr>
          <w:rFonts w:hint="eastAsia" w:ascii="宋体" w:hAnsi="宋体" w:eastAsia="宋体" w:cs="宋体"/>
          <w:color w:val="auto"/>
          <w:sz w:val="24"/>
          <w:szCs w:val="24"/>
          <w:highlight w:val="none"/>
        </w:rPr>
        <w:t>中规定的时间和地点组织磋商。磋商仪式由代理机构主持，采购人代表、响应单位代表以及有关工作人员参加。</w:t>
      </w:r>
    </w:p>
    <w:p w14:paraId="7689DBF7">
      <w:pPr>
        <w:keepNext w:val="0"/>
        <w:keepLines w:val="0"/>
        <w:pageBreakBefore w:val="0"/>
        <w:widowControl w:val="0"/>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4.1.2</w:t>
      </w:r>
      <w:r>
        <w:rPr>
          <w:rFonts w:hint="eastAsia" w:ascii="宋体" w:hAnsi="宋体" w:eastAsia="宋体" w:cs="宋体"/>
          <w:b/>
          <w:color w:val="auto"/>
          <w:sz w:val="24"/>
          <w:szCs w:val="24"/>
          <w:highlight w:val="none"/>
        </w:rPr>
        <w:t>参加磋商的响应供应商在磋商活动开始前登录苏采云不见面开标系统，进入网上不见面开标大厅，做好相关准备工作。</w:t>
      </w:r>
    </w:p>
    <w:p w14:paraId="4C6159F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4.1.3磋商活动开始后，</w:t>
      </w:r>
      <w:r>
        <w:rPr>
          <w:rFonts w:hint="eastAsia" w:ascii="宋体" w:hAnsi="宋体" w:eastAsia="宋体" w:cs="宋体"/>
          <w:b/>
          <w:color w:val="auto"/>
          <w:sz w:val="24"/>
          <w:szCs w:val="24"/>
          <w:highlight w:val="none"/>
        </w:rPr>
        <w:t>按照磋商流程，响应供应商在规定的解密时间内解密响应文件，解密时间为15分钟，</w:t>
      </w:r>
      <w:r>
        <w:rPr>
          <w:rFonts w:hint="eastAsia" w:ascii="宋体" w:hAnsi="宋体" w:eastAsia="宋体" w:cs="宋体"/>
          <w:color w:val="auto"/>
          <w:sz w:val="24"/>
          <w:szCs w:val="24"/>
          <w:highlight w:val="none"/>
        </w:rPr>
        <w:t>因自身原因导致解密失败的，由响应供应商自行承担向相关责任。</w:t>
      </w:r>
    </w:p>
    <w:p w14:paraId="07EA92C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4.1.4响应单位代表对磋商仪式过程有疑义，以及认为采购人、采购代理机构相关工作人员有需要回避的情形的，应通过不见面开标大厅提出询问或者回避申请。采购人、采购代理机构对响应单位代表提出的询问或者回避申请应当及时处理。</w:t>
      </w:r>
    </w:p>
    <w:p w14:paraId="4EA98CE3">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4.2磋商小组</w:t>
      </w:r>
    </w:p>
    <w:p w14:paraId="7459CEE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4.2.1磋商仪式结束后，采购代理机构将立即组织磋商小组（以下简称磋商小组）进行磋商。</w:t>
      </w:r>
    </w:p>
    <w:p w14:paraId="47B5F51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4.2.2磋商小组将按规定由采购人代表和评审专家共3人及以上单数组成。</w:t>
      </w:r>
    </w:p>
    <w:p w14:paraId="175E28A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4.2.3信用记录：</w:t>
      </w:r>
      <w:r>
        <w:rPr>
          <w:rFonts w:hint="eastAsia" w:ascii="宋体" w:hAnsi="宋体" w:eastAsia="宋体" w:cs="宋体"/>
          <w:color w:val="auto"/>
          <w:sz w:val="24"/>
          <w:szCs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123A26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（1）查询时间：评审开始前。</w:t>
      </w:r>
    </w:p>
    <w:p w14:paraId="135B175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（2）查询渠道：</w:t>
      </w:r>
      <w:r>
        <w:rPr>
          <w:rFonts w:hint="eastAsia" w:ascii="宋体" w:hAnsi="宋体" w:eastAsia="宋体" w:cs="宋体"/>
          <w:color w:val="auto"/>
          <w:sz w:val="24"/>
          <w:szCs w:val="24"/>
          <w:highlight w:val="none"/>
        </w:rPr>
        <w:t>通过“信用中国”网站查询相关主体信用记录</w:t>
      </w:r>
      <w:r>
        <w:rPr>
          <w:rFonts w:hint="eastAsia" w:ascii="宋体" w:hAnsi="宋体" w:eastAsia="宋体" w:cs="宋体"/>
          <w:color w:val="auto"/>
          <w:sz w:val="24"/>
          <w:szCs w:val="24"/>
          <w:highlight w:val="none"/>
        </w:rPr>
        <w:t>。</w:t>
      </w:r>
    </w:p>
    <w:p w14:paraId="0EDAFCA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（3）查询证据留存方式：</w:t>
      </w:r>
      <w:r>
        <w:rPr>
          <w:rFonts w:hint="eastAsia" w:ascii="宋体" w:hAnsi="宋体" w:eastAsia="宋体" w:cs="宋体"/>
          <w:color w:val="auto"/>
          <w:sz w:val="24"/>
          <w:szCs w:val="24"/>
          <w:highlight w:val="none"/>
        </w:rPr>
        <w:t>采购代理机构工作人员应根据失信信息，登陆到来源网站页面进行复核并打印，作为证据留存</w:t>
      </w:r>
      <w:r>
        <w:rPr>
          <w:rFonts w:hint="eastAsia" w:ascii="宋体" w:hAnsi="宋体" w:eastAsia="宋体" w:cs="宋体"/>
          <w:color w:val="auto"/>
          <w:sz w:val="24"/>
          <w:szCs w:val="24"/>
          <w:highlight w:val="none"/>
        </w:rPr>
        <w:t>。</w:t>
      </w:r>
    </w:p>
    <w:p w14:paraId="7AD80F4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（4）信用记录使用规则：评审小组在对供应商进行资格性审查时，应根据查询结果对供应商的不良信用记录逐项甄别确认。</w:t>
      </w:r>
    </w:p>
    <w:p w14:paraId="75AA0BDC">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4.3磋商工作纪律及保密</w:t>
      </w:r>
    </w:p>
    <w:p w14:paraId="160A39C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评审专家应当遵守评审工作纪律，不得泄露评审情况和评审中获悉的商业秘密。</w:t>
      </w:r>
    </w:p>
    <w:p w14:paraId="4FB022ED">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4.4磋商小组工作原则</w:t>
      </w:r>
    </w:p>
    <w:p w14:paraId="135081B9">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14:paraId="137F6048">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4.5响应文件审查</w:t>
      </w:r>
    </w:p>
    <w:p w14:paraId="116380D5">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DD03660">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4.6供应商澄清</w:t>
      </w:r>
    </w:p>
    <w:p w14:paraId="2B82F5BA">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磋商小组要求供应商澄清、说明或者更正响应文件将以书面形式作出。供应商的澄清、说明或者更正应当由法定代表人或其授权代表签字或者加盖公章。</w:t>
      </w:r>
    </w:p>
    <w:p w14:paraId="157A7510">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4.7磋商程序、最后报价、综合评分</w:t>
      </w:r>
    </w:p>
    <w:p w14:paraId="61EE2130">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磋商谈判以及报价步骤请详细查阅“</w:t>
      </w:r>
      <w:r>
        <w:rPr>
          <w:rFonts w:hint="eastAsia" w:ascii="宋体" w:hAnsi="宋体" w:eastAsia="宋体" w:cs="宋体"/>
          <w:b/>
          <w:color w:val="auto"/>
          <w:sz w:val="24"/>
          <w:szCs w:val="24"/>
          <w:highlight w:val="none"/>
        </w:rPr>
        <w:t>苏采云系统供应商操作手册</w:t>
      </w:r>
      <w:r>
        <w:rPr>
          <w:rFonts w:hint="eastAsia" w:ascii="宋体" w:hAnsi="宋体" w:eastAsia="宋体" w:cs="宋体"/>
          <w:b/>
          <w:color w:val="auto"/>
          <w:sz w:val="24"/>
          <w:szCs w:val="24"/>
          <w:highlight w:val="none"/>
        </w:rPr>
        <w:t>”文件有关磋商谈判报价章节内容。</w:t>
      </w:r>
    </w:p>
    <w:p w14:paraId="15E3CB7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4.7.1 磋商程序</w:t>
      </w:r>
    </w:p>
    <w:p w14:paraId="64CD36F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4.7.1.1 磋商小组所有成员应当集中与单一供应商分别进行磋商，并给予所有参加磋商的供应商平等的磋商机会。</w:t>
      </w:r>
    </w:p>
    <w:p w14:paraId="102D3063">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4.7.1.2磋商顺序的确定：按公布响应供应商名单顺序确定磋商顺序。在十分钟之内代理机构无法与供应商取得联系，磋商顺序顺延。</w:t>
      </w:r>
    </w:p>
    <w:p w14:paraId="575C1FB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4.7.1.3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p>
    <w:p w14:paraId="5D14410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4.7.1.4 磋商小组将与符合相应资格条件的供应商分别进行磋商，磋商小组集中与单一供应商分别进行磋商。磋商小组与单一供应商进行磋商的次数和时间视磋商时的具体情况而定。</w:t>
      </w:r>
    </w:p>
    <w:p w14:paraId="2FC6CA09">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4.7.1.5 各响应供应商应当在苏采云不见面开标大厅始终保持在线状态，电话通讯顺畅，开标电脑耳机麦克风正常使用。代理机构工作人员在留言板栏目中通知需要磋商的供应商做好准备，对供应商发出磋商要求后，响应供应商接收磋商要求，通过线上音视频进行磋商交流。因供应商原因导致</w:t>
      </w: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分钟内无法通过不见面大厅与代理机构进行通讯的，视为供应商主动退出磋商活动。由此造成的一切后果由响应供应商自行承担。</w:t>
      </w:r>
    </w:p>
    <w:p w14:paraId="77C5B55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4.7.2磋商内容 </w:t>
      </w:r>
    </w:p>
    <w:p w14:paraId="63291FF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以根据磋商文件和磋商情况实质性变动采购需求中的技术、服务要求以及合同草案条款，但不得变动磋商文件中的其他内容。对磋商文件作出的实质性变动是磋商文件的有效组成部分，磋商小组及时以书面形式同时通知所有参加磋商的供应商。供应商应当按照磋商文件的变动情况和磋商小组的要求重新提交响应文件，并由其法定代表人或授权代表签字或者加盖公章。</w:t>
      </w:r>
    </w:p>
    <w:p w14:paraId="74B2D784">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4.7.3磋商报价</w:t>
      </w:r>
    </w:p>
    <w:p w14:paraId="78890E2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4.7.3.</w:t>
      </w:r>
      <w:r>
        <w:rPr>
          <w:rFonts w:hint="eastAsia" w:ascii="宋体" w:hAnsi="宋体" w:eastAsia="宋体" w:cs="宋体"/>
          <w:color w:val="auto"/>
          <w:sz w:val="24"/>
          <w:szCs w:val="24"/>
          <w:highlight w:val="none"/>
        </w:rPr>
        <w:t>1 磋商文件能够详细列明采购标的的技术、服务要求的，磋商结束后，磋商小组将要求所有实质性响应的供应商在规定时间内提交最后报价。最后报价是供应商响应文件的有效组成部分。</w:t>
      </w:r>
    </w:p>
    <w:p w14:paraId="48502E5E">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4.7.3.2 代理机构工作人员在苏采云不见面开标大厅留言板栏目中通知各响应供应商准备报价，符合要求的供应商登录苏采云业务系统，进入本项目的“最后报价”模块，准备报价。</w:t>
      </w:r>
    </w:p>
    <w:p w14:paraId="2ADB930B">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4.7.3.3 磋商小组在系统中发出报价要求，响应供应商在规定</w:t>
      </w: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分钟的报价时间内，进行报价及电子签章，完成报价要求。</w:t>
      </w:r>
    </w:p>
    <w:p w14:paraId="25C6D666">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4.7.3.4 响应供应商应保证报价准确，规定报价时间结束之后，提交后的报价将不能更改。</w:t>
      </w:r>
    </w:p>
    <w:p w14:paraId="1FB19741">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4.7.3.5 在报价过程中，各供应商的报价保密。在规定报价时间结束后，评审小组才能收到各响应供应商的最终报价。</w:t>
      </w:r>
    </w:p>
    <w:p w14:paraId="7111FE71">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4.7.3.6 响应供应商应在规定报价时间内提交最终报价。未在规定报价时间内报价的，视为自动退出磋商活动。</w:t>
      </w:r>
    </w:p>
    <w:p w14:paraId="753400F8">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4.7.3.7 已提交响应文件的供应商，在提交最后报价之前，可以根据磋商情况退出磋商活动。</w:t>
      </w:r>
    </w:p>
    <w:p w14:paraId="7456BFF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4.7.4 综合评分</w:t>
      </w:r>
    </w:p>
    <w:p w14:paraId="193003D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4.7.4.1 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2B567B5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4.7.4.2 评审时，磋商小组各成员独立对每个有效响应的文件进行评价、打分，然后汇总每个供应商每项评分因素的得分。</w:t>
      </w:r>
    </w:p>
    <w:p w14:paraId="4286A07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4.7.4.3 磋商小组应当根据综合评分情况，按照评审得分由高到低顺序推荐2-3名成交候选供应商，并编写评审报告。评审得分相同的，按照最后报价由低到高的顺序推荐。评审得分且最后报价相同的，按照技术指标优劣顺序推荐。</w:t>
      </w:r>
    </w:p>
    <w:p w14:paraId="6AD397CE">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4.8响应无效和终止磋商活动条款</w:t>
      </w:r>
    </w:p>
    <w:p w14:paraId="5A47EF6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4.8.1响应无效条款</w:t>
      </w:r>
    </w:p>
    <w:p w14:paraId="2EB6DDF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1）未按照竞争性磋商文件规定要求签署、盖章的；</w:t>
      </w:r>
    </w:p>
    <w:p w14:paraId="4A8B1FF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2）供应商不具备竞争性磋商文件中规定资格条件的；</w:t>
      </w:r>
    </w:p>
    <w:p w14:paraId="5BB42BF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3）不符合法律、法规和竞争性磋商文件中规定的其他实质性要求的；</w:t>
      </w:r>
    </w:p>
    <w:p w14:paraId="0C0998E3">
      <w:pPr>
        <w:keepNext w:val="0"/>
        <w:keepLines w:val="0"/>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4）不同响应供应商的响应文件使用同一台电脑编制的；</w:t>
      </w:r>
    </w:p>
    <w:p w14:paraId="00DAAF3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5）其他法律、法规及本竞争性磋商文件规定的属响应无效的情形。</w:t>
      </w:r>
    </w:p>
    <w:p w14:paraId="5B80491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4.8.2终止竞争性磋商采购活动的条款</w:t>
      </w:r>
    </w:p>
    <w:p w14:paraId="5CCC4FC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将终止竞争性磋商采购活动，发布项目终止公告并说明原因，重新开展采购活动：</w:t>
      </w:r>
    </w:p>
    <w:p w14:paraId="105663E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1）因情况变化，不再符合规定的竞争性磋商采购方式适用情形的；</w:t>
      </w:r>
    </w:p>
    <w:p w14:paraId="393BEFC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761557E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3）在采购过程中符合要求的供应商或者报价未超过采购预算的供应商不足3家的。</w:t>
      </w:r>
    </w:p>
    <w:p w14:paraId="5E1FA8F9">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4.9确定成交、质疑</w:t>
      </w:r>
    </w:p>
    <w:p w14:paraId="5F35E49A">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4.9.1确定成交供应商</w:t>
      </w:r>
    </w:p>
    <w:p w14:paraId="4DB93A2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4.9.1.1磋商小组根据磋商成交原则确定成交单位，采购人授权磋商小组直接确定成交单位。</w:t>
      </w:r>
    </w:p>
    <w:p w14:paraId="3B4948E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4.9.1.2</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在成交供应商确定后2个工作日内在苏州政府采购网、江苏省政府采购网公告成交结果。</w:t>
      </w:r>
    </w:p>
    <w:p w14:paraId="04E25596">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4.9.2质疑</w:t>
      </w:r>
    </w:p>
    <w:p w14:paraId="01E426E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4.9.2.1供应商认为采购文件使自己的权益受到损害的，可以在知道或者应知其权益受到损害之日起七个工作日内，以书面形式向采购人提出质疑。采购人应当在收到供应商书面质疑函后七个工作日内作出答复。</w:t>
      </w:r>
    </w:p>
    <w:p w14:paraId="6443C876">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4.9.2.2提出质疑的供应商应当是参与所质疑项目采购活动的供应商，未参加磋商采购活动的供应商或在采购活动中自身权益未受到损害的供应商所提出的质疑不予受理。</w:t>
      </w:r>
    </w:p>
    <w:p w14:paraId="7BB65B8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4.9.2.3上述应知其权益受到损害之日是指：</w:t>
      </w:r>
    </w:p>
    <w:p w14:paraId="2A22363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4.9.2.3.1对采购文件提出质疑的，为获取采购文件或者采购文件公告期限届满之日起计算；</w:t>
      </w:r>
    </w:p>
    <w:p w14:paraId="4495CFA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4.9.2.3.2对采购过程提出质疑的，自采购程序环节结束之日起计算；</w:t>
      </w:r>
    </w:p>
    <w:p w14:paraId="4FF9EAA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4.9.2.3.3对成交结果提出质疑的，自成交结果公告期限届满之日起计算。</w:t>
      </w:r>
    </w:p>
    <w:p w14:paraId="1AA9D5A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4.9.2.4对采购文件提出质疑的供应商应把参加本项目的报名确认单与质疑函一起递交。</w:t>
      </w:r>
    </w:p>
    <w:p w14:paraId="2E0F750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4.9.2.5供应商提出质疑应当提交质疑函和必要的证明材料。质疑函应当包括下列内容：</w:t>
      </w:r>
    </w:p>
    <w:p w14:paraId="126BC4A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4.9.2.5.1供应商的姓名或者名称、地址、邮编、联系人及联系电话；</w:t>
      </w:r>
    </w:p>
    <w:p w14:paraId="1C43B91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4.9.2.5.2质疑项目的名称、编号；</w:t>
      </w:r>
    </w:p>
    <w:p w14:paraId="1A3E182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4.9.2.5.3具体、明确的质疑事项和与质疑事项相关的请求；</w:t>
      </w:r>
    </w:p>
    <w:p w14:paraId="04FA4D5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4.9.2.5.4事实依据；</w:t>
      </w:r>
    </w:p>
    <w:p w14:paraId="2F29650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4.9.2.5.5必要的法律依据；</w:t>
      </w:r>
    </w:p>
    <w:p w14:paraId="2D26C7B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4.9.2.5.6提出质疑的日期。</w:t>
      </w:r>
    </w:p>
    <w:p w14:paraId="7F6DE33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4.9.2.6对采购文件提出质疑的，为获取采购文件或者采购文件公告期限届满之日起计算，提出质疑的供应商应把参加本项目的报名确认单与质疑函一起递交，并附营业执照复印件、法人身份证复印件。供应商为授权代理人，另需提供授权委托书和授权代理人身份证复印件。以上资料均需加盖单位公章。 </w:t>
      </w:r>
    </w:p>
    <w:p w14:paraId="2176D23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4.9.2.7供应商如对本项目提出质疑须在法定质疑期内一次性提出针对同一采购程序环节的质疑。</w:t>
      </w:r>
    </w:p>
    <w:p w14:paraId="25568BF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4.9.2..8供应商对招标项目技术、商务及其他要求，以及评审细则、标准提出询问或质疑的，应向采购人提出；供应商对采购过程及成交结果提出询问或质疑的，应向采购机代理构提出； </w:t>
      </w:r>
    </w:p>
    <w:p w14:paraId="3D53850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4.9.2.9接受质疑函联系方式见采购公告联系事项。</w:t>
      </w:r>
    </w:p>
    <w:p w14:paraId="2B1DCE81">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4.10成交通知书</w:t>
      </w:r>
    </w:p>
    <w:p w14:paraId="0AD930A6">
      <w:pPr>
        <w:keepNext w:val="0"/>
        <w:keepLines w:val="0"/>
        <w:pageBreakBefore w:val="0"/>
        <w:widowControl w:val="0"/>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4.10.1</w:t>
      </w:r>
      <w:r>
        <w:rPr>
          <w:rFonts w:hint="eastAsia" w:ascii="宋体" w:hAnsi="宋体" w:eastAsia="宋体" w:cs="宋体"/>
          <w:b/>
          <w:color w:val="auto"/>
          <w:sz w:val="24"/>
          <w:szCs w:val="24"/>
          <w:highlight w:val="none"/>
        </w:rPr>
        <w:t>成交通知书在成交公告发布后将发布在业务系统中，成交供应商自行在业务系统中下载打印。</w:t>
      </w:r>
    </w:p>
    <w:p w14:paraId="0C04A26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4.10.2成交通知书将是合同的一个组成部分。对采购人和成交供应商均具有法律效力。成交通知书发出后，采购人改变成交结果的，或者成交供应商放弃成交项目的，应当依法承担法律责任。</w:t>
      </w:r>
    </w:p>
    <w:p w14:paraId="0CE2DACC">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5.履约保证金</w:t>
      </w:r>
    </w:p>
    <w:p w14:paraId="02B5B70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5.1成交供应商按要求提交履约保证金。</w:t>
      </w:r>
    </w:p>
    <w:p w14:paraId="4414195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5.2履约保证金用以约束供应商在合同履行中的行为，弥补合同执行中由于自身行为可能给采购人带来的各种损失。</w:t>
      </w:r>
    </w:p>
    <w:p w14:paraId="638312D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5.3履约保证金（无息）将在成交供应商合同履行完毕后，采购人在五个工作日内退返成交供应商。</w:t>
      </w:r>
    </w:p>
    <w:p w14:paraId="50F81CB7">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6.授予合同</w:t>
      </w:r>
    </w:p>
    <w:p w14:paraId="4123CF6D">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6.1签订合同</w:t>
      </w:r>
    </w:p>
    <w:p w14:paraId="47FA717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6.1.1采购人与成交供应商应当在成交通知书发出之日起15日内，按照磋商文件确定的合同文本以及采购标的、规格型号、采购金额、采购数量、技术和服务要求等事项签订政府采购合同。</w:t>
      </w:r>
    </w:p>
    <w:p w14:paraId="01B36E3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0F3EB56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p>
    <w:p w14:paraId="5BE3D996">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6.1.4竞争性磋商文件、成交供应商的响应文件及竞争性磋商过程中有关澄清、承诺文件均应作为合同附件。</w:t>
      </w:r>
    </w:p>
    <w:p w14:paraId="19E4342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签订合同后，成交供应商不得将货物及其他相关服务进行转包。未经采购人同意，成交供应商也不得采用分包的形式履行合同，否则采购人有权终止合同。转包或分包造成采购人损失的，成交供应商应承担相应赔偿责任。</w:t>
      </w:r>
    </w:p>
    <w:p w14:paraId="5F1433B2">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6.2货物和服务的追加、减少和添购</w:t>
      </w:r>
    </w:p>
    <w:p w14:paraId="06FF792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6.2.1采购结束后，采购人若由于各种客观原因，必须对采购项目所牵涉的货物和服务进行适当的减少时，在双方协商一致的前提下，可以按照竞争性磋商采购时的价格水平做相应的调减，并据此签订补充合同。</w:t>
      </w:r>
    </w:p>
    <w:p w14:paraId="289C2968">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6.2.2项目结束后，采购人若由于各种客观原因，必须对采购项目所牵涉的货物和服务进行适当的添购时，由于须保证原有采购项目一致性或者服务配套的要求，经相关部门批准，可以继续从成交人处按照单一来源采购的方式进行添购但金额不超过原合同金额的10%，且所牵涉的货物和服务的价格水平不得超过本次竞争性磋商的水平且低于当时的社会平均价。货物和服务的添购，应在本次政府采购合同的基础上，另行签订货物和服务的添购合同。</w:t>
      </w:r>
    </w:p>
    <w:p w14:paraId="25786F87">
      <w:pPr>
        <w:pBdr>
          <w:top w:val="none" w:color="000000" w:sz="0" w:space="0"/>
          <w:left w:val="none" w:color="000000" w:sz="0" w:space="0"/>
          <w:bottom w:val="none" w:color="000000" w:sz="0" w:space="0"/>
          <w:right w:val="none" w:color="000000" w:sz="0" w:space="0"/>
        </w:pBdr>
        <w:spacing w:before="0" w:after="0" w:line="439" w:lineRule="atLeast"/>
        <w:ind w:left="0" w:right="0" w:firstLine="360"/>
        <w:jc w:val="both"/>
        <w:rPr>
          <w:rFonts w:hint="eastAsia" w:ascii="宋体" w:hAnsi="宋体" w:eastAsia="宋体" w:cs="宋体"/>
          <w:color w:val="auto"/>
          <w:highlight w:val="none"/>
        </w:rPr>
      </w:pPr>
    </w:p>
    <w:p w14:paraId="67D53F10">
      <w:pPr>
        <w:spacing w:line="500" w:lineRule="exact"/>
        <w:ind w:firstLine="480"/>
        <w:rPr>
          <w:rFonts w:hint="eastAsia" w:ascii="宋体" w:hAnsi="宋体" w:eastAsia="宋体" w:cs="宋体"/>
          <w:bCs/>
          <w:color w:val="auto"/>
          <w:sz w:val="24"/>
          <w:highlight w:val="none"/>
        </w:rPr>
      </w:pPr>
    </w:p>
    <w:p w14:paraId="3434B086">
      <w:pPr>
        <w:widowControl/>
        <w:jc w:val="left"/>
        <w:rPr>
          <w:rFonts w:hint="eastAsia" w:ascii="宋体" w:hAnsi="宋体" w:eastAsia="宋体" w:cs="宋体"/>
          <w:b/>
          <w:color w:val="auto"/>
          <w:sz w:val="44"/>
          <w:szCs w:val="44"/>
          <w:highlight w:val="none"/>
        </w:rPr>
      </w:pPr>
    </w:p>
    <w:p w14:paraId="0660FA09">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AF9EEB0">
      <w:pPr>
        <w:pStyle w:val="373"/>
        <w:keepNext w:val="0"/>
        <w:keepLines w:val="0"/>
        <w:pageBreakBefore w:val="0"/>
        <w:widowControl w:val="0"/>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第三部分 </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需求</w:t>
      </w:r>
    </w:p>
    <w:p w14:paraId="14C2E518">
      <w:pPr>
        <w:keepLines w:val="0"/>
        <w:pageBreakBefore w:val="0"/>
        <w:kinsoku/>
        <w:wordWrap/>
        <w:overflowPunct/>
        <w:topLinePunct w:val="0"/>
        <w:bidi w:val="0"/>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一、招标项目：</w:t>
      </w:r>
    </w:p>
    <w:p w14:paraId="12D7DD30">
      <w:pPr>
        <w:keepLines w:val="0"/>
        <w:pageBreakBefore w:val="0"/>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1、采购单位：</w:t>
      </w:r>
      <w:r>
        <w:rPr>
          <w:rFonts w:hint="eastAsia" w:ascii="宋体" w:hAnsi="宋体" w:eastAsia="宋体" w:cs="宋体"/>
          <w:color w:val="auto"/>
          <w:sz w:val="24"/>
          <w:szCs w:val="24"/>
          <w:highlight w:val="none"/>
          <w:lang w:eastAsia="zh-CN"/>
        </w:rPr>
        <w:t>太仓市人民政府陆渡街道办事处</w:t>
      </w:r>
    </w:p>
    <w:p w14:paraId="14DFB612">
      <w:pPr>
        <w:keepLines w:val="0"/>
        <w:pageBreakBefore w:val="0"/>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恒通佳苑消防改造项目</w:t>
      </w:r>
    </w:p>
    <w:p w14:paraId="31D21FE4">
      <w:pPr>
        <w:keepLines w:val="0"/>
        <w:pageBreakBefore w:val="0"/>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3、项目编号：</w:t>
      </w:r>
      <w:r>
        <w:rPr>
          <w:rFonts w:hint="eastAsia" w:ascii="宋体" w:hAnsi="宋体" w:eastAsia="宋体" w:cs="宋体"/>
          <w:color w:val="auto"/>
          <w:sz w:val="24"/>
          <w:szCs w:val="24"/>
          <w:highlight w:val="none"/>
          <w:lang w:eastAsia="zh-CN"/>
        </w:rPr>
        <w:t>JSZC-320585-FYWL-C2025-0023</w:t>
      </w:r>
    </w:p>
    <w:p w14:paraId="3CFC5A29">
      <w:pPr>
        <w:keepLines w:val="0"/>
        <w:pageBreakBefore w:val="0"/>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4、项目预算：</w:t>
      </w:r>
      <w:r>
        <w:rPr>
          <w:rFonts w:hint="eastAsia" w:ascii="宋体" w:hAnsi="宋体" w:eastAsia="宋体" w:cs="宋体"/>
          <w:color w:val="auto"/>
          <w:sz w:val="24"/>
          <w:szCs w:val="24"/>
          <w:highlight w:val="none"/>
          <w:lang w:eastAsia="zh-CN"/>
        </w:rPr>
        <w:t>¥1500000.00元（大写：壹佰伍拾万元整）</w:t>
      </w:r>
    </w:p>
    <w:p w14:paraId="589CB2FF">
      <w:pPr>
        <w:keepLines w:val="0"/>
        <w:pageBreakBefore w:val="0"/>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5、最高限价：</w:t>
      </w:r>
      <w:r>
        <w:rPr>
          <w:rFonts w:hint="eastAsia" w:ascii="宋体" w:hAnsi="宋体" w:eastAsia="宋体" w:cs="宋体"/>
          <w:color w:val="auto"/>
          <w:sz w:val="24"/>
          <w:szCs w:val="24"/>
          <w:highlight w:val="none"/>
          <w:lang w:eastAsia="zh-CN"/>
        </w:rPr>
        <w:t>¥1500000.00元（大写：壹佰伍拾万元整）</w:t>
      </w:r>
    </w:p>
    <w:p w14:paraId="7FF9849A">
      <w:pPr>
        <w:pStyle w:val="2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eastAsia="宋体" w:cs="宋体"/>
          <w:b/>
          <w:color w:val="auto"/>
          <w:sz w:val="24"/>
          <w:szCs w:val="24"/>
          <w:highlight w:val="none"/>
          <w:lang w:val="en-US" w:eastAsia="zh-CN"/>
        </w:rPr>
        <w:t>项目概况</w:t>
      </w:r>
      <w:r>
        <w:rPr>
          <w:rFonts w:hint="eastAsia" w:ascii="宋体" w:hAnsi="宋体" w:eastAsia="宋体" w:cs="宋体"/>
          <w:b/>
          <w:color w:val="auto"/>
          <w:sz w:val="24"/>
          <w:szCs w:val="24"/>
          <w:highlight w:val="none"/>
        </w:rPr>
        <w:t>：</w:t>
      </w:r>
    </w:p>
    <w:p w14:paraId="730F6329">
      <w:pPr>
        <w:pStyle w:val="2"/>
        <w:keepLines w:val="0"/>
        <w:pageBreakBefore w:val="0"/>
        <w:tabs>
          <w:tab w:val="left" w:pos="560"/>
          <w:tab w:val="left" w:pos="1120"/>
          <w:tab w:val="clear" w:pos="200"/>
        </w:tabs>
        <w:kinsoku/>
        <w:wordWrap/>
        <w:overflowPunct/>
        <w:topLinePunct w:val="0"/>
        <w:bidi w:val="0"/>
        <w:spacing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1、工程范围：</w:t>
      </w:r>
    </w:p>
    <w:p w14:paraId="4CF019F2">
      <w:pPr>
        <w:pStyle w:val="227"/>
        <w:keepLines w:val="0"/>
        <w:pageBreakBefore w:val="0"/>
        <w:tabs>
          <w:tab w:val="center" w:pos="4201"/>
          <w:tab w:val="right" w:leader="dot" w:pos="9298"/>
        </w:tabs>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val="en-US" w:eastAsia="zh-CN"/>
        </w:rPr>
        <w:t>工程主要建设</w:t>
      </w:r>
      <w:r>
        <w:rPr>
          <w:rFonts w:hint="eastAsia" w:ascii="宋体" w:hAnsi="宋体" w:eastAsia="宋体" w:cs="宋体"/>
          <w:color w:val="auto"/>
          <w:sz w:val="24"/>
          <w:szCs w:val="24"/>
          <w:highlight w:val="none"/>
          <w:lang w:val="zh-CN"/>
        </w:rPr>
        <w:t>太仓恒通佳苑半地下车库</w:t>
      </w:r>
      <w:r>
        <w:rPr>
          <w:rFonts w:hint="eastAsia" w:ascii="宋体" w:hAnsi="宋体" w:eastAsia="宋体" w:cs="宋体"/>
          <w:color w:val="auto"/>
          <w:sz w:val="24"/>
          <w:szCs w:val="24"/>
          <w:highlight w:val="none"/>
        </w:rPr>
        <w:t>项目设计的高压细水雾灭火系统设备。</w:t>
      </w:r>
    </w:p>
    <w:p w14:paraId="46A34E51">
      <w:pPr>
        <w:pStyle w:val="227"/>
        <w:keepLines w:val="0"/>
        <w:pageBreakBefore w:val="0"/>
        <w:tabs>
          <w:tab w:val="center" w:pos="4201"/>
          <w:tab w:val="right" w:leader="dot" w:pos="9298"/>
        </w:tabs>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投标人承诺所提供的产品是满足本技术规格书要求的、全新的设备，如出现不能满足本技术规格书要求，投标人将无偿提供符合本技术规格书要求的产品与服务，并满足招标人设计及工期要求。</w:t>
      </w:r>
      <w:r>
        <w:rPr>
          <w:rFonts w:hint="eastAsia" w:ascii="宋体" w:hAnsi="宋体" w:eastAsia="宋体" w:cs="宋体"/>
          <w:color w:val="auto"/>
          <w:sz w:val="24"/>
          <w:szCs w:val="24"/>
          <w:highlight w:val="none"/>
          <w:lang w:val="en-US" w:eastAsia="zh-CN"/>
        </w:rPr>
        <w:t xml:space="preserve"> </w:t>
      </w:r>
    </w:p>
    <w:p w14:paraId="1BD03D5A">
      <w:pPr>
        <w:pStyle w:val="2"/>
        <w:keepLines w:val="0"/>
        <w:pageBreakBefore w:val="0"/>
        <w:tabs>
          <w:tab w:val="left" w:pos="560"/>
          <w:tab w:val="left" w:pos="1120"/>
          <w:tab w:val="clear" w:pos="200"/>
        </w:tabs>
        <w:kinsoku/>
        <w:wordWrap/>
        <w:overflowPunct/>
        <w:topLinePunct w:val="0"/>
        <w:bidi w:val="0"/>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2、规范标准</w:t>
      </w:r>
    </w:p>
    <w:p w14:paraId="57E60F4F">
      <w:pPr>
        <w:pStyle w:val="227"/>
        <w:keepLines w:val="0"/>
        <w:pageBreakBefore w:val="0"/>
        <w:tabs>
          <w:tab w:val="center" w:pos="4201"/>
          <w:tab w:val="right" w:leader="dot" w:pos="9298"/>
        </w:tabs>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高压细水雾系统产品的设计、制造、安装、调试、验收必须满足以下规范和标准要求，以下规范标准均以最新版本为准。</w:t>
      </w:r>
      <w:bookmarkStart w:id="18" w:name="_Toc178586918"/>
    </w:p>
    <w:p w14:paraId="2867561A">
      <w:pPr>
        <w:pStyle w:val="227"/>
        <w:keepLines w:val="0"/>
        <w:pageBreakBefore w:val="0"/>
        <w:tabs>
          <w:tab w:val="center" w:pos="4201"/>
          <w:tab w:val="right" w:leader="dot" w:pos="9298"/>
        </w:tabs>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1）GB5</w:t>
      </w:r>
      <w:r>
        <w:rPr>
          <w:rFonts w:hint="eastAsia" w:ascii="宋体" w:hAnsi="宋体" w:eastAsia="宋体" w:cs="宋体"/>
          <w:color w:val="auto"/>
          <w:sz w:val="24"/>
          <w:szCs w:val="24"/>
          <w:highlight w:val="none"/>
          <w:lang w:eastAsia="zh-CN"/>
        </w:rPr>
        <w:t>JSZC-320585-FYWL-C2025-0023</w:t>
      </w:r>
      <w:r>
        <w:rPr>
          <w:rFonts w:hint="eastAsia" w:ascii="宋体" w:hAnsi="宋体" w:eastAsia="宋体" w:cs="宋体"/>
          <w:color w:val="auto"/>
          <w:sz w:val="24"/>
          <w:szCs w:val="24"/>
          <w:highlight w:val="none"/>
        </w:rPr>
        <w:t>6-2014（2018年版）《建筑设计防火规范》</w:t>
      </w:r>
    </w:p>
    <w:p w14:paraId="6639797D">
      <w:pPr>
        <w:pStyle w:val="227"/>
        <w:keepLines w:val="0"/>
        <w:pageBreakBefore w:val="0"/>
        <w:tabs>
          <w:tab w:val="center" w:pos="4201"/>
          <w:tab w:val="right" w:leader="dot" w:pos="9298"/>
        </w:tabs>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2）GB5</w:t>
      </w:r>
      <w:r>
        <w:rPr>
          <w:rFonts w:hint="eastAsia" w:ascii="宋体" w:hAnsi="宋体" w:eastAsia="宋体" w:cs="宋体"/>
          <w:color w:val="auto"/>
          <w:sz w:val="24"/>
          <w:szCs w:val="24"/>
          <w:highlight w:val="none"/>
          <w:lang w:eastAsia="zh-CN"/>
        </w:rPr>
        <w:t>JSZC-320585-FYWL-C2025-0023</w:t>
      </w:r>
      <w:r>
        <w:rPr>
          <w:rFonts w:hint="eastAsia" w:ascii="宋体" w:hAnsi="宋体" w:eastAsia="宋体" w:cs="宋体"/>
          <w:color w:val="auto"/>
          <w:sz w:val="24"/>
          <w:szCs w:val="24"/>
          <w:highlight w:val="none"/>
        </w:rPr>
        <w:t>5-2019《建筑给水排水设计标准》</w:t>
      </w:r>
    </w:p>
    <w:p w14:paraId="43C41FE8">
      <w:pPr>
        <w:pStyle w:val="227"/>
        <w:keepLines w:val="0"/>
        <w:pageBreakBefore w:val="0"/>
        <w:tabs>
          <w:tab w:val="center" w:pos="4201"/>
          <w:tab w:val="right" w:leader="dot" w:pos="9298"/>
        </w:tabs>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3）GB50898-2013《细水雾灭火系统技术规范》</w:t>
      </w:r>
    </w:p>
    <w:p w14:paraId="2FE38742">
      <w:pPr>
        <w:pStyle w:val="227"/>
        <w:keepLines w:val="0"/>
        <w:pageBreakBefore w:val="0"/>
        <w:tabs>
          <w:tab w:val="center" w:pos="4201"/>
          <w:tab w:val="right" w:leader="dot" w:pos="9298"/>
        </w:tabs>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4）GA 1149-2014《细水雾灭火装置》</w:t>
      </w:r>
    </w:p>
    <w:p w14:paraId="2A46BB4E">
      <w:pPr>
        <w:pStyle w:val="227"/>
        <w:keepLines w:val="0"/>
        <w:pageBreakBefore w:val="0"/>
        <w:tabs>
          <w:tab w:val="center" w:pos="4201"/>
          <w:tab w:val="right" w:leader="dot" w:pos="9298"/>
        </w:tabs>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5）GB/T 26785-2011《细水雾灭火系统及部件通用技术条件》</w:t>
      </w:r>
    </w:p>
    <w:p w14:paraId="2B6A7A98">
      <w:pPr>
        <w:pStyle w:val="227"/>
        <w:keepLines w:val="0"/>
        <w:pageBreakBefore w:val="0"/>
        <w:tabs>
          <w:tab w:val="center" w:pos="4201"/>
          <w:tab w:val="right" w:leader="dot" w:pos="9298"/>
        </w:tabs>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7）GB50184-2011《工业金属管道工程施工质量验收规范》</w:t>
      </w:r>
    </w:p>
    <w:p w14:paraId="518849AA">
      <w:pPr>
        <w:pStyle w:val="227"/>
        <w:keepLines w:val="0"/>
        <w:pageBreakBefore w:val="0"/>
        <w:tabs>
          <w:tab w:val="center" w:pos="4201"/>
          <w:tab w:val="right" w:leader="dot" w:pos="9298"/>
        </w:tabs>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8）GB50235-2010《工业金属管道施工及验收规范》</w:t>
      </w:r>
    </w:p>
    <w:p w14:paraId="1A102EDF">
      <w:pPr>
        <w:pStyle w:val="227"/>
        <w:keepLines w:val="0"/>
        <w:pageBreakBefore w:val="0"/>
        <w:tabs>
          <w:tab w:val="center" w:pos="4201"/>
          <w:tab w:val="right" w:leader="dot" w:pos="9298"/>
        </w:tabs>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GB/T14976-2012《流体输送用不锈钢无缝钢管》</w:t>
      </w:r>
    </w:p>
    <w:p w14:paraId="0FB69887">
      <w:pPr>
        <w:keepLines w:val="0"/>
        <w:pageBreakBefore w:val="0"/>
        <w:tabs>
          <w:tab w:val="left" w:pos="3300"/>
        </w:tabs>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10）GB/T12771-2019《流体输送用不锈钢焊接钢管》</w:t>
      </w:r>
    </w:p>
    <w:bookmarkEnd w:id="18"/>
    <w:p w14:paraId="2F18EBEA">
      <w:pPr>
        <w:pStyle w:val="2"/>
        <w:keepLines w:val="0"/>
        <w:pageBreakBefore w:val="0"/>
        <w:tabs>
          <w:tab w:val="left" w:pos="560"/>
          <w:tab w:val="left" w:pos="1120"/>
          <w:tab w:val="clear" w:pos="200"/>
        </w:tabs>
        <w:kinsoku/>
        <w:wordWrap/>
        <w:overflowPunct/>
        <w:topLinePunct w:val="0"/>
        <w:bidi w:val="0"/>
        <w:spacing w:line="360" w:lineRule="auto"/>
        <w:jc w:val="both"/>
        <w:textAlignment w:val="auto"/>
        <w:rPr>
          <w:rFonts w:hint="eastAsia" w:ascii="宋体" w:hAnsi="宋体" w:eastAsia="宋体" w:cs="宋体"/>
          <w:color w:val="auto"/>
          <w:sz w:val="24"/>
          <w:szCs w:val="24"/>
          <w:highlight w:val="none"/>
        </w:rPr>
      </w:pPr>
      <w:bookmarkStart w:id="19" w:name="_Toc530655288"/>
      <w:bookmarkStart w:id="20" w:name="_Toc5255"/>
      <w:r>
        <w:rPr>
          <w:rFonts w:hint="eastAsia" w:ascii="宋体" w:hAnsi="宋体" w:eastAsia="宋体" w:cs="宋体"/>
          <w:color w:val="auto"/>
          <w:sz w:val="24"/>
          <w:szCs w:val="24"/>
          <w:highlight w:val="none"/>
        </w:rPr>
        <w:t>3、</w:t>
      </w:r>
      <w:bookmarkEnd w:id="19"/>
      <w:bookmarkEnd w:id="20"/>
      <w:r>
        <w:rPr>
          <w:rFonts w:hint="eastAsia" w:ascii="宋体" w:hAnsi="宋体" w:eastAsia="宋体" w:cs="宋体"/>
          <w:color w:val="auto"/>
          <w:sz w:val="24"/>
          <w:szCs w:val="24"/>
          <w:highlight w:val="none"/>
        </w:rPr>
        <w:t>系统组成</w:t>
      </w:r>
    </w:p>
    <w:p w14:paraId="48D0FCFA">
      <w:pPr>
        <w:keepLines w:val="0"/>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1" w:name="OLE_LINK7"/>
      <w:r>
        <w:rPr>
          <w:rFonts w:hint="eastAsia" w:ascii="宋体" w:hAnsi="宋体" w:eastAsia="宋体" w:cs="宋体"/>
          <w:color w:val="auto"/>
          <w:sz w:val="24"/>
          <w:szCs w:val="24"/>
          <w:highlight w:val="none"/>
        </w:rPr>
        <w:t>高压细水雾灭火系统由存储和输送灭火介质的管网部分和探测报警联动灭火设备的控制部分组成。平时由控制部分来监视各防护区的状态，在发生火灾时能自动报警，并按预先设定的程序启动灭火装置，达到扑救防护区火灾的目的。</w:t>
      </w:r>
    </w:p>
    <w:p w14:paraId="68CC436F">
      <w:pPr>
        <w:keepLines w:val="0"/>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高压细水雾系统设备包含不锈钢立式九柱塞</w:t>
      </w:r>
      <w:bookmarkStart w:id="22" w:name="OLE_LINK12"/>
      <w:r>
        <w:rPr>
          <w:rFonts w:hint="eastAsia" w:ascii="宋体" w:hAnsi="宋体" w:eastAsia="宋体" w:cs="宋体"/>
          <w:color w:val="auto"/>
          <w:sz w:val="24"/>
          <w:szCs w:val="24"/>
          <w:highlight w:val="none"/>
        </w:rPr>
        <w:t>高压主泵、稳压泵、水箱、补水装置、泵控制柜、细水雾喷头、过滤器、区域控制阀组</w:t>
      </w:r>
      <w:bookmarkEnd w:id="22"/>
      <w:r>
        <w:rPr>
          <w:rFonts w:hint="eastAsia" w:ascii="宋体" w:hAnsi="宋体" w:eastAsia="宋体" w:cs="宋体"/>
          <w:color w:val="auto"/>
          <w:sz w:val="24"/>
          <w:szCs w:val="24"/>
          <w:highlight w:val="none"/>
        </w:rPr>
        <w:t>、储存水箱和不锈钢管道等。</w:t>
      </w:r>
      <w:bookmarkEnd w:id="21"/>
    </w:p>
    <w:p w14:paraId="20FC9919">
      <w:pPr>
        <w:pStyle w:val="2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工程量清单：</w:t>
      </w:r>
    </w:p>
    <w:p w14:paraId="5A76723C">
      <w:pPr>
        <w:pStyle w:val="24"/>
        <w:rPr>
          <w:rFonts w:hint="eastAsia" w:ascii="宋体" w:hAnsi="宋体" w:eastAsia="宋体" w:cs="宋体"/>
          <w:color w:val="auto"/>
          <w:sz w:val="24"/>
          <w:szCs w:val="24"/>
          <w:highlight w:val="none"/>
          <w:lang w:val="en-US" w:eastAsia="zh-CN"/>
        </w:rPr>
      </w:pPr>
    </w:p>
    <w:tbl>
      <w:tblPr>
        <w:tblStyle w:val="66"/>
        <w:tblW w:w="88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20"/>
        <w:gridCol w:w="2570"/>
        <w:gridCol w:w="2760"/>
        <w:gridCol w:w="1185"/>
        <w:gridCol w:w="1185"/>
      </w:tblGrid>
      <w:tr w14:paraId="50CCB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9A7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序号</w:t>
            </w:r>
          </w:p>
        </w:tc>
        <w:tc>
          <w:tcPr>
            <w:tcW w:w="2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E10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项目名称/项目特征</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245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型号</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A9A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单位</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B9D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数量</w:t>
            </w:r>
          </w:p>
        </w:tc>
      </w:tr>
      <w:tr w14:paraId="30246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20" w:type="dxa"/>
            <w:tcBorders>
              <w:top w:val="nil"/>
              <w:left w:val="single" w:color="000000" w:sz="4" w:space="0"/>
              <w:bottom w:val="single" w:color="000000" w:sz="4" w:space="0"/>
              <w:right w:val="single" w:color="000000" w:sz="4" w:space="0"/>
            </w:tcBorders>
            <w:shd w:val="clear" w:color="auto" w:fill="auto"/>
            <w:vAlign w:val="center"/>
          </w:tcPr>
          <w:p w14:paraId="4FD519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w:t>
            </w:r>
          </w:p>
        </w:tc>
        <w:tc>
          <w:tcPr>
            <w:tcW w:w="2570" w:type="dxa"/>
            <w:tcBorders>
              <w:top w:val="nil"/>
              <w:left w:val="single" w:color="000000" w:sz="4" w:space="0"/>
              <w:bottom w:val="single" w:color="000000" w:sz="4" w:space="0"/>
              <w:right w:val="single" w:color="000000" w:sz="4" w:space="0"/>
            </w:tcBorders>
            <w:shd w:val="clear" w:color="auto" w:fill="auto"/>
            <w:vAlign w:val="center"/>
          </w:tcPr>
          <w:p w14:paraId="39E3D1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高压细水雾泵组（九柱塞）</w:t>
            </w:r>
          </w:p>
        </w:tc>
        <w:tc>
          <w:tcPr>
            <w:tcW w:w="2760" w:type="dxa"/>
            <w:tcBorders>
              <w:top w:val="nil"/>
              <w:left w:val="single" w:color="000000" w:sz="4" w:space="0"/>
              <w:bottom w:val="single" w:color="000000" w:sz="4" w:space="0"/>
              <w:right w:val="single" w:color="000000" w:sz="4" w:space="0"/>
            </w:tcBorders>
            <w:shd w:val="clear" w:color="auto" w:fill="auto"/>
            <w:vAlign w:val="center"/>
          </w:tcPr>
          <w:p w14:paraId="6010BA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泵组要求：Q≥500L /分钟，</w:t>
            </w:r>
            <w:r>
              <w:rPr>
                <w:rFonts w:hint="eastAsia" w:ascii="宋体" w:hAnsi="宋体" w:eastAsia="宋体" w:cs="宋体"/>
                <w:i w:val="0"/>
                <w:iCs w:val="0"/>
                <w:snapToGrid w:val="0"/>
                <w:color w:val="auto"/>
                <w:kern w:val="0"/>
                <w:sz w:val="24"/>
                <w:szCs w:val="24"/>
                <w:highlight w:val="none"/>
                <w:u w:val="none"/>
                <w:lang w:val="en-US" w:eastAsia="zh-CN" w:bidi="ar"/>
              </w:rPr>
              <w:t>H</w:t>
            </w:r>
            <w:r>
              <w:rPr>
                <w:rFonts w:hint="eastAsia" w:ascii="宋体" w:hAnsi="宋体" w:eastAsia="宋体" w:cs="宋体"/>
                <w:i w:val="0"/>
                <w:iCs w:val="0"/>
                <w:snapToGrid w:val="0"/>
                <w:color w:val="auto"/>
                <w:kern w:val="0"/>
                <w:sz w:val="24"/>
                <w:szCs w:val="24"/>
                <w:highlight w:val="none"/>
                <w:u w:val="none"/>
                <w:lang w:val="en-US" w:eastAsia="zh-CN" w:bidi="ar"/>
              </w:rPr>
              <w:t>≥14Mpa</w:t>
            </w:r>
          </w:p>
        </w:tc>
        <w:tc>
          <w:tcPr>
            <w:tcW w:w="1185" w:type="dxa"/>
            <w:tcBorders>
              <w:top w:val="nil"/>
              <w:left w:val="single" w:color="000000" w:sz="4" w:space="0"/>
              <w:bottom w:val="single" w:color="000000" w:sz="4" w:space="0"/>
              <w:right w:val="single" w:color="000000" w:sz="4" w:space="0"/>
            </w:tcBorders>
            <w:shd w:val="clear" w:color="auto" w:fill="auto"/>
            <w:vAlign w:val="center"/>
          </w:tcPr>
          <w:p w14:paraId="391F14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套</w:t>
            </w:r>
          </w:p>
        </w:tc>
        <w:tc>
          <w:tcPr>
            <w:tcW w:w="1185" w:type="dxa"/>
            <w:tcBorders>
              <w:top w:val="nil"/>
              <w:left w:val="single" w:color="000000" w:sz="4" w:space="0"/>
              <w:bottom w:val="single" w:color="000000" w:sz="4" w:space="0"/>
              <w:right w:val="single" w:color="000000" w:sz="4" w:space="0"/>
            </w:tcBorders>
            <w:shd w:val="clear" w:color="auto" w:fill="auto"/>
            <w:vAlign w:val="center"/>
          </w:tcPr>
          <w:p w14:paraId="7ED32802">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 xml:space="preserve">1.00 </w:t>
            </w:r>
          </w:p>
        </w:tc>
      </w:tr>
      <w:tr w14:paraId="739A4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20" w:type="dxa"/>
            <w:vMerge w:val="restart"/>
            <w:tcBorders>
              <w:top w:val="nil"/>
              <w:left w:val="single" w:color="000000" w:sz="4" w:space="0"/>
              <w:right w:val="single" w:color="000000" w:sz="4" w:space="0"/>
            </w:tcBorders>
            <w:shd w:val="clear" w:color="auto" w:fill="auto"/>
            <w:vAlign w:val="center"/>
          </w:tcPr>
          <w:p w14:paraId="4B020E9D">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其中：</w:t>
            </w:r>
          </w:p>
        </w:tc>
        <w:tc>
          <w:tcPr>
            <w:tcW w:w="2570" w:type="dxa"/>
            <w:tcBorders>
              <w:top w:val="nil"/>
              <w:left w:val="single" w:color="000000" w:sz="4" w:space="0"/>
              <w:bottom w:val="single" w:color="000000" w:sz="4" w:space="0"/>
              <w:right w:val="single" w:color="000000" w:sz="4" w:space="0"/>
            </w:tcBorders>
            <w:shd w:val="clear" w:color="auto" w:fill="auto"/>
            <w:vAlign w:val="center"/>
          </w:tcPr>
          <w:p w14:paraId="5BA8A74C">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高压单泵</w:t>
            </w:r>
          </w:p>
        </w:tc>
        <w:tc>
          <w:tcPr>
            <w:tcW w:w="2760" w:type="dxa"/>
            <w:tcBorders>
              <w:top w:val="nil"/>
              <w:left w:val="single" w:color="000000" w:sz="4" w:space="0"/>
              <w:bottom w:val="single" w:color="000000" w:sz="4" w:space="0"/>
              <w:right w:val="single" w:color="000000" w:sz="4" w:space="0"/>
            </w:tcBorders>
            <w:shd w:val="clear" w:color="auto" w:fill="auto"/>
            <w:vAlign w:val="center"/>
          </w:tcPr>
          <w:p w14:paraId="3198E0D5">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Q≥100L/min,H≥14MPa,N≥30kw</w:t>
            </w:r>
          </w:p>
        </w:tc>
        <w:tc>
          <w:tcPr>
            <w:tcW w:w="1185" w:type="dxa"/>
            <w:tcBorders>
              <w:top w:val="nil"/>
              <w:left w:val="single" w:color="000000" w:sz="4" w:space="0"/>
              <w:bottom w:val="single" w:color="000000" w:sz="4" w:space="0"/>
              <w:right w:val="single" w:color="000000" w:sz="4" w:space="0"/>
            </w:tcBorders>
            <w:shd w:val="clear" w:color="auto" w:fill="auto"/>
            <w:vAlign w:val="center"/>
          </w:tcPr>
          <w:p w14:paraId="1C079240">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台</w:t>
            </w:r>
          </w:p>
        </w:tc>
        <w:tc>
          <w:tcPr>
            <w:tcW w:w="1185" w:type="dxa"/>
            <w:tcBorders>
              <w:top w:val="nil"/>
              <w:left w:val="single" w:color="000000" w:sz="4" w:space="0"/>
              <w:bottom w:val="single" w:color="000000" w:sz="4" w:space="0"/>
              <w:right w:val="single" w:color="000000" w:sz="4" w:space="0"/>
            </w:tcBorders>
            <w:shd w:val="clear" w:color="auto" w:fill="auto"/>
            <w:vAlign w:val="center"/>
          </w:tcPr>
          <w:p w14:paraId="5F5C60AA">
            <w:pPr>
              <w:keepNext w:val="0"/>
              <w:keepLines w:val="0"/>
              <w:widowControl/>
              <w:suppressLineNumbers w:val="0"/>
              <w:jc w:val="righ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6</w:t>
            </w:r>
          </w:p>
        </w:tc>
      </w:tr>
      <w:tr w14:paraId="3C838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20" w:type="dxa"/>
            <w:vMerge w:val="continue"/>
            <w:tcBorders>
              <w:left w:val="single" w:color="000000" w:sz="4" w:space="0"/>
              <w:right w:val="single" w:color="000000" w:sz="4" w:space="0"/>
            </w:tcBorders>
            <w:shd w:val="clear" w:color="auto" w:fill="auto"/>
            <w:vAlign w:val="center"/>
          </w:tcPr>
          <w:p w14:paraId="3B72673F">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2570" w:type="dxa"/>
            <w:tcBorders>
              <w:top w:val="nil"/>
              <w:left w:val="single" w:color="000000" w:sz="4" w:space="0"/>
              <w:bottom w:val="single" w:color="000000" w:sz="4" w:space="0"/>
              <w:right w:val="single" w:color="000000" w:sz="4" w:space="0"/>
            </w:tcBorders>
            <w:shd w:val="clear" w:color="auto" w:fill="auto"/>
            <w:vAlign w:val="center"/>
          </w:tcPr>
          <w:p w14:paraId="52D65D55">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稳压泵</w:t>
            </w:r>
          </w:p>
        </w:tc>
        <w:tc>
          <w:tcPr>
            <w:tcW w:w="2760" w:type="dxa"/>
            <w:tcBorders>
              <w:top w:val="nil"/>
              <w:left w:val="single" w:color="000000" w:sz="4" w:space="0"/>
              <w:bottom w:val="single" w:color="000000" w:sz="4" w:space="0"/>
              <w:right w:val="single" w:color="000000" w:sz="4" w:space="0"/>
            </w:tcBorders>
            <w:shd w:val="clear" w:color="auto" w:fill="auto"/>
            <w:vAlign w:val="center"/>
          </w:tcPr>
          <w:p w14:paraId="697ED2B8">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Q≥11.8L/min,H≥1.4MPa,N≥0.55kw</w:t>
            </w:r>
          </w:p>
        </w:tc>
        <w:tc>
          <w:tcPr>
            <w:tcW w:w="1185" w:type="dxa"/>
            <w:tcBorders>
              <w:top w:val="nil"/>
              <w:left w:val="single" w:color="000000" w:sz="4" w:space="0"/>
              <w:bottom w:val="single" w:color="000000" w:sz="4" w:space="0"/>
              <w:right w:val="single" w:color="000000" w:sz="4" w:space="0"/>
            </w:tcBorders>
            <w:shd w:val="clear" w:color="auto" w:fill="auto"/>
            <w:vAlign w:val="center"/>
          </w:tcPr>
          <w:p w14:paraId="6FC8DB7A">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台</w:t>
            </w:r>
          </w:p>
        </w:tc>
        <w:tc>
          <w:tcPr>
            <w:tcW w:w="1185" w:type="dxa"/>
            <w:tcBorders>
              <w:top w:val="nil"/>
              <w:left w:val="single" w:color="000000" w:sz="4" w:space="0"/>
              <w:bottom w:val="single" w:color="000000" w:sz="4" w:space="0"/>
              <w:right w:val="single" w:color="000000" w:sz="4" w:space="0"/>
            </w:tcBorders>
            <w:shd w:val="clear" w:color="auto" w:fill="auto"/>
            <w:vAlign w:val="center"/>
          </w:tcPr>
          <w:p w14:paraId="3531B218">
            <w:pPr>
              <w:keepNext w:val="0"/>
              <w:keepLines w:val="0"/>
              <w:widowControl/>
              <w:suppressLineNumbers w:val="0"/>
              <w:jc w:val="righ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2</w:t>
            </w:r>
          </w:p>
        </w:tc>
      </w:tr>
      <w:tr w14:paraId="1C8F8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20" w:type="dxa"/>
            <w:vMerge w:val="continue"/>
            <w:tcBorders>
              <w:left w:val="single" w:color="000000" w:sz="4" w:space="0"/>
              <w:right w:val="single" w:color="000000" w:sz="4" w:space="0"/>
            </w:tcBorders>
            <w:shd w:val="clear" w:color="auto" w:fill="auto"/>
            <w:vAlign w:val="center"/>
          </w:tcPr>
          <w:p w14:paraId="4E25AC9D">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2570" w:type="dxa"/>
            <w:tcBorders>
              <w:top w:val="nil"/>
              <w:left w:val="single" w:color="000000" w:sz="4" w:space="0"/>
              <w:bottom w:val="single" w:color="000000" w:sz="4" w:space="0"/>
              <w:right w:val="single" w:color="000000" w:sz="4" w:space="0"/>
            </w:tcBorders>
            <w:shd w:val="clear" w:color="auto" w:fill="auto"/>
            <w:vAlign w:val="center"/>
          </w:tcPr>
          <w:p w14:paraId="75D23696">
            <w:pPr>
              <w:keepNext w:val="0"/>
              <w:keepLines w:val="0"/>
              <w:widowControl/>
              <w:suppressLineNumbers w:val="0"/>
              <w:ind w:firstLine="480" w:firstLineChars="20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安全泄压阀</w:t>
            </w:r>
          </w:p>
        </w:tc>
        <w:tc>
          <w:tcPr>
            <w:tcW w:w="2760" w:type="dxa"/>
            <w:tcBorders>
              <w:top w:val="nil"/>
              <w:left w:val="single" w:color="000000" w:sz="4" w:space="0"/>
              <w:bottom w:val="single" w:color="000000" w:sz="4" w:space="0"/>
              <w:right w:val="single" w:color="000000" w:sz="4" w:space="0"/>
            </w:tcBorders>
            <w:shd w:val="clear" w:color="auto" w:fill="auto"/>
            <w:vAlign w:val="center"/>
          </w:tcPr>
          <w:p w14:paraId="59A6ECAE">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不锈钢，</w:t>
            </w:r>
            <w:r>
              <w:rPr>
                <w:rFonts w:hint="eastAsia" w:ascii="宋体" w:hAnsi="宋体" w:eastAsia="宋体" w:cs="宋体"/>
                <w:color w:val="auto"/>
                <w:sz w:val="24"/>
                <w:szCs w:val="24"/>
                <w:highlight w:val="none"/>
              </w:rPr>
              <w:t>高压泵组自带安全泄压阀</w:t>
            </w:r>
          </w:p>
        </w:tc>
        <w:tc>
          <w:tcPr>
            <w:tcW w:w="1185" w:type="dxa"/>
            <w:tcBorders>
              <w:top w:val="nil"/>
              <w:left w:val="single" w:color="000000" w:sz="4" w:space="0"/>
              <w:bottom w:val="single" w:color="000000" w:sz="4" w:space="0"/>
              <w:right w:val="single" w:color="000000" w:sz="4" w:space="0"/>
            </w:tcBorders>
            <w:shd w:val="clear" w:color="auto" w:fill="auto"/>
            <w:vAlign w:val="center"/>
          </w:tcPr>
          <w:p w14:paraId="4DE37253">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个</w:t>
            </w:r>
          </w:p>
        </w:tc>
        <w:tc>
          <w:tcPr>
            <w:tcW w:w="1185" w:type="dxa"/>
            <w:tcBorders>
              <w:top w:val="nil"/>
              <w:left w:val="single" w:color="000000" w:sz="4" w:space="0"/>
              <w:bottom w:val="single" w:color="000000" w:sz="4" w:space="0"/>
              <w:right w:val="single" w:color="000000" w:sz="4" w:space="0"/>
            </w:tcBorders>
            <w:shd w:val="clear" w:color="auto" w:fill="auto"/>
            <w:vAlign w:val="center"/>
          </w:tcPr>
          <w:p w14:paraId="361E636D">
            <w:pPr>
              <w:keepNext w:val="0"/>
              <w:keepLines w:val="0"/>
              <w:widowControl/>
              <w:suppressLineNumbers w:val="0"/>
              <w:jc w:val="righ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1</w:t>
            </w:r>
          </w:p>
        </w:tc>
      </w:tr>
      <w:tr w14:paraId="2F4FC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20" w:type="dxa"/>
            <w:vMerge w:val="continue"/>
            <w:tcBorders>
              <w:left w:val="single" w:color="000000" w:sz="4" w:space="0"/>
              <w:bottom w:val="single" w:color="000000" w:sz="4" w:space="0"/>
              <w:right w:val="single" w:color="000000" w:sz="4" w:space="0"/>
            </w:tcBorders>
            <w:shd w:val="clear" w:color="auto" w:fill="auto"/>
            <w:vAlign w:val="center"/>
          </w:tcPr>
          <w:p w14:paraId="5C7099FE">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2570" w:type="dxa"/>
            <w:tcBorders>
              <w:top w:val="nil"/>
              <w:left w:val="single" w:color="000000" w:sz="4" w:space="0"/>
              <w:bottom w:val="single" w:color="000000" w:sz="4" w:space="0"/>
              <w:right w:val="single" w:color="000000" w:sz="4" w:space="0"/>
            </w:tcBorders>
            <w:shd w:val="clear" w:color="auto" w:fill="auto"/>
            <w:vAlign w:val="center"/>
          </w:tcPr>
          <w:p w14:paraId="758202B9">
            <w:pPr>
              <w:keepNext w:val="0"/>
              <w:keepLines w:val="0"/>
              <w:widowControl/>
              <w:suppressLineNumbers w:val="0"/>
              <w:ind w:firstLine="480" w:firstLineChars="20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调节水箱</w:t>
            </w:r>
          </w:p>
        </w:tc>
        <w:tc>
          <w:tcPr>
            <w:tcW w:w="2760" w:type="dxa"/>
            <w:tcBorders>
              <w:top w:val="nil"/>
              <w:left w:val="single" w:color="000000" w:sz="4" w:space="0"/>
              <w:bottom w:val="single" w:color="000000" w:sz="4" w:space="0"/>
              <w:right w:val="single" w:color="000000" w:sz="4" w:space="0"/>
            </w:tcBorders>
            <w:shd w:val="clear" w:color="auto" w:fill="auto"/>
            <w:vAlign w:val="center"/>
          </w:tcPr>
          <w:p w14:paraId="7A0CD8D6">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800L，含液位显示及控制器</w:t>
            </w:r>
          </w:p>
        </w:tc>
        <w:tc>
          <w:tcPr>
            <w:tcW w:w="1185" w:type="dxa"/>
            <w:tcBorders>
              <w:top w:val="nil"/>
              <w:left w:val="single" w:color="000000" w:sz="4" w:space="0"/>
              <w:bottom w:val="single" w:color="000000" w:sz="4" w:space="0"/>
              <w:right w:val="single" w:color="000000" w:sz="4" w:space="0"/>
            </w:tcBorders>
            <w:shd w:val="clear" w:color="auto" w:fill="auto"/>
            <w:vAlign w:val="center"/>
          </w:tcPr>
          <w:p w14:paraId="11435E4A">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台</w:t>
            </w:r>
          </w:p>
        </w:tc>
        <w:tc>
          <w:tcPr>
            <w:tcW w:w="1185" w:type="dxa"/>
            <w:tcBorders>
              <w:top w:val="nil"/>
              <w:left w:val="single" w:color="000000" w:sz="4" w:space="0"/>
              <w:bottom w:val="single" w:color="000000" w:sz="4" w:space="0"/>
              <w:right w:val="single" w:color="000000" w:sz="4" w:space="0"/>
            </w:tcBorders>
            <w:shd w:val="clear" w:color="auto" w:fill="auto"/>
            <w:vAlign w:val="center"/>
          </w:tcPr>
          <w:p w14:paraId="5932577E">
            <w:pPr>
              <w:keepNext w:val="0"/>
              <w:keepLines w:val="0"/>
              <w:widowControl/>
              <w:suppressLineNumbers w:val="0"/>
              <w:jc w:val="righ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2</w:t>
            </w:r>
          </w:p>
        </w:tc>
      </w:tr>
      <w:tr w14:paraId="3DC15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4C1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2</w:t>
            </w:r>
          </w:p>
        </w:tc>
        <w:tc>
          <w:tcPr>
            <w:tcW w:w="2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5F7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高压细水雾开式区域阀组</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559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单阀箱，DN25,压力≥16mpa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6D3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套</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9ABED">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28</w:t>
            </w:r>
          </w:p>
        </w:tc>
      </w:tr>
      <w:tr w14:paraId="7FE12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2E0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3</w:t>
            </w:r>
          </w:p>
        </w:tc>
        <w:tc>
          <w:tcPr>
            <w:tcW w:w="2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7C4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高压细水雾开式区域阀组</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48C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单阀箱，DN32,压力≥16mpa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926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套</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E4AE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w:t>
            </w:r>
          </w:p>
        </w:tc>
      </w:tr>
      <w:tr w14:paraId="09889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3A6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4</w:t>
            </w:r>
          </w:p>
        </w:tc>
        <w:tc>
          <w:tcPr>
            <w:tcW w:w="2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208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高压细水雾开式喷头</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F6B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DN25,压力≥16mpa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A9B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只</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7341D">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11</w:t>
            </w:r>
          </w:p>
        </w:tc>
      </w:tr>
      <w:tr w14:paraId="67727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A6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5</w:t>
            </w:r>
          </w:p>
        </w:tc>
        <w:tc>
          <w:tcPr>
            <w:tcW w:w="2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097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高压细水雾微型喷头</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C8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snapToGrid w:val="0"/>
                <w:color w:val="auto"/>
                <w:kern w:val="0"/>
                <w:sz w:val="24"/>
                <w:szCs w:val="24"/>
                <w:highlight w:val="none"/>
                <w:u w:val="none"/>
                <w:lang w:val="en-US" w:eastAsia="zh-CN" w:bidi="ar"/>
              </w:rPr>
              <w:t>工作压力≥10mpa，流量系数≥0.5</w:t>
            </w:r>
            <w:r>
              <w:rPr>
                <w:rFonts w:hint="eastAsia" w:ascii="宋体" w:hAnsi="宋体" w:eastAsia="宋体" w:cs="宋体"/>
                <w:i w:val="0"/>
                <w:iCs w:val="0"/>
                <w:snapToGrid w:val="0"/>
                <w:color w:val="auto"/>
                <w:kern w:val="0"/>
                <w:sz w:val="24"/>
                <w:szCs w:val="24"/>
                <w:highlight w:val="none"/>
                <w:u w:val="none"/>
                <w:lang w:val="en-US" w:eastAsia="zh-CN" w:bidi="ar"/>
              </w:rPr>
              <w:t>，</w:t>
            </w:r>
            <w:r>
              <w:rPr>
                <w:rFonts w:hint="eastAsia" w:ascii="宋体" w:hAnsi="宋体" w:eastAsia="宋体" w:cs="宋体"/>
                <w:i w:val="0"/>
                <w:iCs w:val="0"/>
                <w:snapToGrid w:val="0"/>
                <w:color w:val="auto"/>
                <w:kern w:val="0"/>
                <w:sz w:val="24"/>
                <w:szCs w:val="24"/>
                <w:highlight w:val="none"/>
                <w:u w:val="none"/>
                <w:lang w:val="en-US" w:eastAsia="zh-CN" w:bidi="ar"/>
              </w:rPr>
              <w:t>含管件</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A31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只</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61A89">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1273</w:t>
            </w:r>
          </w:p>
        </w:tc>
      </w:tr>
      <w:tr w14:paraId="442BE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B86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7</w:t>
            </w:r>
          </w:p>
        </w:tc>
        <w:tc>
          <w:tcPr>
            <w:tcW w:w="2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3D5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snapToGrid w:val="0"/>
                <w:color w:val="auto"/>
                <w:kern w:val="0"/>
                <w:sz w:val="24"/>
                <w:szCs w:val="24"/>
                <w:highlight w:val="none"/>
                <w:u w:val="none"/>
                <w:lang w:val="en-US" w:eastAsia="zh-CN" w:bidi="ar"/>
              </w:rPr>
              <w:t>不锈钢钢管</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E12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snapToGrid w:val="0"/>
                <w:color w:val="auto"/>
                <w:kern w:val="0"/>
                <w:sz w:val="24"/>
                <w:szCs w:val="24"/>
                <w:highlight w:val="none"/>
                <w:u w:val="none"/>
                <w:lang w:val="en-US" w:eastAsia="zh-CN" w:bidi="ar"/>
              </w:rPr>
              <w:t>Φ12*1.5，材质为316L</w:t>
            </w:r>
            <w:r>
              <w:rPr>
                <w:rFonts w:hint="eastAsia" w:ascii="宋体" w:hAnsi="宋体" w:eastAsia="宋体" w:cs="宋体"/>
                <w:i w:val="0"/>
                <w:iCs w:val="0"/>
                <w:snapToGrid w:val="0"/>
                <w:color w:val="auto"/>
                <w:kern w:val="0"/>
                <w:sz w:val="24"/>
                <w:szCs w:val="24"/>
                <w:highlight w:val="none"/>
                <w:u w:val="none"/>
                <w:lang w:val="en-US" w:eastAsia="zh-CN" w:bidi="ar"/>
              </w:rPr>
              <w:t>，含管件</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473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snapToGrid w:val="0"/>
                <w:color w:val="auto"/>
                <w:kern w:val="0"/>
                <w:sz w:val="24"/>
                <w:szCs w:val="24"/>
                <w:highlight w:val="none"/>
                <w:u w:val="none"/>
                <w:lang w:val="en-US" w:eastAsia="zh-CN" w:bidi="ar"/>
              </w:rPr>
              <w:t>m</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13F07">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snapToGrid w:val="0"/>
                <w:color w:val="auto"/>
                <w:kern w:val="0"/>
                <w:sz w:val="24"/>
                <w:szCs w:val="24"/>
                <w:highlight w:val="none"/>
                <w:u w:val="none"/>
                <w:lang w:val="en-US" w:eastAsia="zh-CN" w:bidi="ar"/>
              </w:rPr>
              <w:t>408</w:t>
            </w:r>
          </w:p>
        </w:tc>
      </w:tr>
      <w:tr w14:paraId="4E40C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DDE70">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8</w:t>
            </w:r>
          </w:p>
        </w:tc>
        <w:tc>
          <w:tcPr>
            <w:tcW w:w="2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D533B">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不锈钢钢管</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20B50">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Φ22*2.0，材质为316L</w:t>
            </w:r>
            <w:r>
              <w:rPr>
                <w:rFonts w:hint="eastAsia" w:ascii="宋体" w:hAnsi="宋体" w:eastAsia="宋体" w:cs="宋体"/>
                <w:i w:val="0"/>
                <w:iCs w:val="0"/>
                <w:snapToGrid w:val="0"/>
                <w:color w:val="auto"/>
                <w:kern w:val="0"/>
                <w:sz w:val="24"/>
                <w:szCs w:val="24"/>
                <w:highlight w:val="none"/>
                <w:u w:val="none"/>
                <w:lang w:val="en-US" w:eastAsia="zh-CN" w:bidi="ar"/>
              </w:rPr>
              <w:t>，含管件</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9ADE">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79D0F">
            <w:pPr>
              <w:keepNext w:val="0"/>
              <w:keepLines w:val="0"/>
              <w:widowControl/>
              <w:suppressLineNumbers w:val="0"/>
              <w:jc w:val="righ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1194</w:t>
            </w:r>
          </w:p>
        </w:tc>
      </w:tr>
      <w:tr w14:paraId="7C677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7D6AC">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9</w:t>
            </w:r>
          </w:p>
        </w:tc>
        <w:tc>
          <w:tcPr>
            <w:tcW w:w="2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54C4F">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不锈钢钢管</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5376F">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Φ34*3.0，材质为316L</w:t>
            </w:r>
            <w:r>
              <w:rPr>
                <w:rFonts w:hint="eastAsia" w:ascii="宋体" w:hAnsi="宋体" w:eastAsia="宋体" w:cs="宋体"/>
                <w:i w:val="0"/>
                <w:iCs w:val="0"/>
                <w:snapToGrid w:val="0"/>
                <w:color w:val="auto"/>
                <w:kern w:val="0"/>
                <w:sz w:val="24"/>
                <w:szCs w:val="24"/>
                <w:highlight w:val="none"/>
                <w:u w:val="none"/>
                <w:lang w:val="en-US" w:eastAsia="zh-CN" w:bidi="ar"/>
              </w:rPr>
              <w:t>，含管件</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65E76">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DCC24">
            <w:pPr>
              <w:keepNext w:val="0"/>
              <w:keepLines w:val="0"/>
              <w:widowControl/>
              <w:suppressLineNumbers w:val="0"/>
              <w:jc w:val="righ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2862</w:t>
            </w:r>
          </w:p>
        </w:tc>
      </w:tr>
      <w:tr w14:paraId="52F12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A7E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10</w:t>
            </w:r>
          </w:p>
        </w:tc>
        <w:tc>
          <w:tcPr>
            <w:tcW w:w="2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1C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不锈钢钢管</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125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rPr>
              <w:t>Φ42*3.5，材质为316L</w:t>
            </w:r>
            <w:r>
              <w:rPr>
                <w:rFonts w:hint="eastAsia" w:ascii="宋体" w:hAnsi="宋体" w:eastAsia="宋体" w:cs="宋体"/>
                <w:i w:val="0"/>
                <w:iCs w:val="0"/>
                <w:color w:val="auto"/>
                <w:sz w:val="24"/>
                <w:szCs w:val="24"/>
                <w:highlight w:val="none"/>
                <w:u w:val="none"/>
                <w:lang w:val="en-US" w:eastAsia="zh-CN"/>
              </w:rPr>
              <w:t>，</w:t>
            </w:r>
            <w:r>
              <w:rPr>
                <w:rFonts w:hint="eastAsia" w:ascii="宋体" w:hAnsi="宋体" w:eastAsia="宋体" w:cs="宋体"/>
                <w:i w:val="0"/>
                <w:iCs w:val="0"/>
                <w:snapToGrid w:val="0"/>
                <w:color w:val="auto"/>
                <w:kern w:val="0"/>
                <w:sz w:val="24"/>
                <w:szCs w:val="24"/>
                <w:highlight w:val="none"/>
                <w:u w:val="none"/>
                <w:lang w:val="en-US" w:eastAsia="zh-CN" w:bidi="ar"/>
              </w:rPr>
              <w:t>含管件</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97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m</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A68D9">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t>960</w:t>
            </w:r>
          </w:p>
        </w:tc>
      </w:tr>
      <w:tr w14:paraId="76902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23A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snapToGrid w:val="0"/>
                <w:color w:val="auto"/>
                <w:kern w:val="0"/>
                <w:sz w:val="24"/>
                <w:szCs w:val="24"/>
                <w:highlight w:val="none"/>
                <w:u w:val="none"/>
                <w:lang w:val="en-US" w:eastAsia="zh-CN" w:bidi="ar"/>
              </w:rPr>
              <w:t>11</w:t>
            </w:r>
          </w:p>
        </w:tc>
        <w:tc>
          <w:tcPr>
            <w:tcW w:w="2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01B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管道支架</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2F2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snapToGrid w:val="0"/>
                <w:color w:val="auto"/>
                <w:kern w:val="0"/>
                <w:sz w:val="24"/>
                <w:szCs w:val="24"/>
                <w:highlight w:val="none"/>
                <w:u w:val="none"/>
                <w:lang w:val="en-US" w:eastAsia="zh-CN" w:bidi="ar"/>
              </w:rPr>
              <w:t>镀锌角铁</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66E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项</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77676">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w:t>
            </w:r>
          </w:p>
        </w:tc>
      </w:tr>
      <w:tr w14:paraId="3FB17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EC3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snapToGrid w:val="0"/>
                <w:color w:val="auto"/>
                <w:kern w:val="0"/>
                <w:sz w:val="24"/>
                <w:szCs w:val="24"/>
                <w:highlight w:val="none"/>
                <w:u w:val="none"/>
                <w:lang w:val="en-US" w:eastAsia="zh-CN" w:bidi="ar"/>
              </w:rPr>
              <w:t>12</w:t>
            </w:r>
          </w:p>
        </w:tc>
        <w:tc>
          <w:tcPr>
            <w:tcW w:w="2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70B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火灾报警系统</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F85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新增的消防报警系统需与小区内原消控室报警系统联通</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3AA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项</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34AE4">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w:t>
            </w:r>
          </w:p>
        </w:tc>
      </w:tr>
    </w:tbl>
    <w:p w14:paraId="059D531C">
      <w:pPr>
        <w:pStyle w:val="24"/>
        <w:rPr>
          <w:rFonts w:hint="eastAsia" w:ascii="宋体" w:hAnsi="宋体" w:eastAsia="宋体" w:cs="宋体"/>
          <w:color w:val="auto"/>
          <w:sz w:val="24"/>
          <w:szCs w:val="24"/>
          <w:highlight w:val="none"/>
          <w:lang w:val="en-US" w:eastAsia="zh-CN"/>
        </w:rPr>
      </w:pPr>
    </w:p>
    <w:p w14:paraId="5A544F17">
      <w:pPr>
        <w:pStyle w:val="24"/>
        <w:rPr>
          <w:rFonts w:hint="eastAsia" w:ascii="宋体" w:hAnsi="宋体" w:eastAsia="宋体" w:cs="宋体"/>
          <w:color w:val="auto"/>
          <w:sz w:val="24"/>
          <w:szCs w:val="24"/>
          <w:highlight w:val="none"/>
          <w:lang w:val="en-US" w:eastAsia="zh-CN"/>
        </w:rPr>
      </w:pPr>
    </w:p>
    <w:p w14:paraId="574EE6AA">
      <w:pPr>
        <w:tabs>
          <w:tab w:val="left" w:pos="560"/>
          <w:tab w:val="left" w:pos="1120"/>
        </w:tabs>
        <w:adjustRightInd w:val="0"/>
        <w:snapToGrid w:val="0"/>
        <w:spacing w:line="360" w:lineRule="auto"/>
        <w:rPr>
          <w:rFonts w:hint="eastAsia" w:ascii="宋体" w:hAnsi="宋体" w:eastAsia="宋体" w:cs="宋体"/>
          <w:b/>
          <w:bCs/>
          <w:color w:val="auto"/>
          <w:sz w:val="24"/>
          <w:szCs w:val="24"/>
          <w:highlight w:val="none"/>
        </w:rPr>
      </w:pPr>
      <w:bookmarkStart w:id="23" w:name="_Toc208827787"/>
      <w:bookmarkStart w:id="24" w:name="_Toc208825607"/>
      <w:bookmarkStart w:id="25" w:name="_Toc208828229"/>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、总体要求</w:t>
      </w:r>
      <w:bookmarkEnd w:id="23"/>
      <w:bookmarkEnd w:id="24"/>
      <w:bookmarkEnd w:id="25"/>
    </w:p>
    <w:p w14:paraId="40F9CE4B">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除非设计文件中另有规定，所有国家和相关部委颁布的现行有关规范、规程、标准和措施都适用于本工程，设计图纸和其它设计文件中的有关文字说明是本工程技术需求的组成部份。</w:t>
      </w:r>
    </w:p>
    <w:p w14:paraId="2910AE44">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对于涉及新技术、新工艺和新材料的工作，相应厂家使用说明或操作说明等的内容，或适用的国外同类标准的内容也是本工程技术需求的组成部分。</w:t>
      </w:r>
    </w:p>
    <w:p w14:paraId="0819BD2F">
      <w:pPr>
        <w:numPr>
          <w:ilvl w:val="0"/>
          <w:numId w:val="4"/>
        </w:num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所供应的设备，安装、调试所涉及的设计标准规范、产品标准规范、工程标准规范、验收标准规范必须符合最新的法定职责、条例、规范。系统中选用的设备必须是无暇的全新设备，并通过中国国家固定灭火系统及耐火构件质量监督检验中心的检验。</w:t>
      </w:r>
    </w:p>
    <w:p w14:paraId="3CA8E5AF">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应提供系统安装手册、操作手册和维修手册，以确保系统的正常运行。</w:t>
      </w:r>
    </w:p>
    <w:p w14:paraId="41459DEC">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应提交系统所需的材料和设备资料，包括系统各组成部分或系统各装置的明细目录、备品备件清单和技术参数。</w:t>
      </w:r>
    </w:p>
    <w:p w14:paraId="3C477A0A">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、设计参数</w:t>
      </w:r>
    </w:p>
    <w:p w14:paraId="05625054">
      <w:pPr>
        <w:numPr>
          <w:ilvl w:val="0"/>
          <w:numId w:val="5"/>
        </w:numPr>
        <w:autoSpaceDE w:val="0"/>
        <w:autoSpaceDN w:val="0"/>
        <w:adjustRightIn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系统持续喷雾时间</w:t>
      </w:r>
      <w:r>
        <w:rPr>
          <w:rFonts w:hint="eastAsia" w:ascii="宋体" w:hAnsi="宋体" w:eastAsia="宋体" w:cs="宋体"/>
          <w:bCs/>
          <w:color w:val="auto"/>
          <w:sz w:val="24"/>
          <w:szCs w:val="24"/>
          <w:highlight w:val="none"/>
          <w:lang w:val="en-US" w:eastAsia="zh-CN"/>
        </w:rPr>
        <w:t>不小于</w:t>
      </w:r>
      <w:r>
        <w:rPr>
          <w:rFonts w:hint="eastAsia" w:ascii="宋体" w:hAnsi="宋体" w:eastAsia="宋体" w:cs="宋体"/>
          <w:bCs/>
          <w:color w:val="auto"/>
          <w:sz w:val="24"/>
          <w:szCs w:val="24"/>
          <w:highlight w:val="none"/>
        </w:rPr>
        <w:t>30min</w:t>
      </w:r>
      <w:r>
        <w:rPr>
          <w:rFonts w:hint="eastAsia" w:ascii="宋体" w:hAnsi="宋体" w:eastAsia="宋体" w:cs="宋体"/>
          <w:bCs/>
          <w:color w:val="auto"/>
          <w:sz w:val="24"/>
          <w:szCs w:val="24"/>
          <w:highlight w:val="none"/>
        </w:rPr>
        <w:t>。</w:t>
      </w:r>
    </w:p>
    <w:p w14:paraId="0351C334">
      <w:pPr>
        <w:numPr>
          <w:ilvl w:val="0"/>
          <w:numId w:val="5"/>
        </w:numPr>
        <w:autoSpaceDE w:val="0"/>
        <w:autoSpaceDN w:val="0"/>
        <w:adjustRightIn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开式系统的响应时间不大于</w:t>
      </w:r>
      <w:r>
        <w:rPr>
          <w:rFonts w:hint="eastAsia" w:ascii="宋体" w:hAnsi="宋体" w:eastAsia="宋体" w:cs="宋体"/>
          <w:bCs/>
          <w:color w:val="auto"/>
          <w:sz w:val="24"/>
          <w:szCs w:val="24"/>
          <w:highlight w:val="none"/>
        </w:rPr>
        <w:t>30s</w:t>
      </w:r>
      <w:r>
        <w:rPr>
          <w:rFonts w:hint="eastAsia" w:ascii="宋体" w:hAnsi="宋体" w:eastAsia="宋体" w:cs="宋体"/>
          <w:bCs/>
          <w:color w:val="auto"/>
          <w:sz w:val="24"/>
          <w:szCs w:val="24"/>
          <w:highlight w:val="none"/>
        </w:rPr>
        <w:t>。</w:t>
      </w:r>
    </w:p>
    <w:p w14:paraId="5C651513">
      <w:pPr>
        <w:numPr>
          <w:ilvl w:val="0"/>
          <w:numId w:val="5"/>
        </w:numPr>
        <w:autoSpaceDE w:val="0"/>
        <w:autoSpaceDN w:val="0"/>
        <w:adjustRightIn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喷头本体材质为铜合金或不锈钢，最低工作压力不得低于</w:t>
      </w:r>
      <w:r>
        <w:rPr>
          <w:rFonts w:hint="eastAsia" w:ascii="宋体" w:hAnsi="宋体" w:eastAsia="宋体" w:cs="宋体"/>
          <w:bCs/>
          <w:color w:val="auto"/>
          <w:sz w:val="24"/>
          <w:szCs w:val="24"/>
          <w:highlight w:val="none"/>
        </w:rPr>
        <w:t>10MPa</w:t>
      </w:r>
      <w:r>
        <w:rPr>
          <w:rFonts w:hint="eastAsia" w:ascii="宋体" w:hAnsi="宋体" w:eastAsia="宋体" w:cs="宋体"/>
          <w:bCs/>
          <w:color w:val="auto"/>
          <w:sz w:val="24"/>
          <w:szCs w:val="24"/>
          <w:highlight w:val="none"/>
        </w:rPr>
        <w:t>。</w:t>
      </w:r>
    </w:p>
    <w:p w14:paraId="24155254">
      <w:pPr>
        <w:numPr>
          <w:ilvl w:val="0"/>
          <w:numId w:val="5"/>
        </w:numPr>
        <w:autoSpaceDE w:val="0"/>
        <w:autoSpaceDN w:val="0"/>
        <w:adjustRightIn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高压柱塞泵组泵体材料为不锈钢，泵组工作压力不小于</w:t>
      </w:r>
      <w:r>
        <w:rPr>
          <w:rFonts w:hint="eastAsia" w:ascii="宋体" w:hAnsi="宋体" w:eastAsia="宋体" w:cs="宋体"/>
          <w:bCs/>
          <w:color w:val="auto"/>
          <w:sz w:val="24"/>
          <w:szCs w:val="24"/>
          <w:highlight w:val="none"/>
        </w:rPr>
        <w:t>14MPa</w:t>
      </w:r>
      <w:r>
        <w:rPr>
          <w:rFonts w:hint="eastAsia" w:ascii="宋体" w:hAnsi="宋体" w:eastAsia="宋体" w:cs="宋体"/>
          <w:bCs/>
          <w:color w:val="auto"/>
          <w:sz w:val="24"/>
          <w:szCs w:val="24"/>
          <w:highlight w:val="none"/>
        </w:rPr>
        <w:t>。</w:t>
      </w:r>
    </w:p>
    <w:p w14:paraId="65D80E0E">
      <w:pPr>
        <w:numPr>
          <w:ilvl w:val="0"/>
          <w:numId w:val="5"/>
        </w:numPr>
        <w:autoSpaceDE w:val="0"/>
        <w:autoSpaceDN w:val="0"/>
        <w:adjustRightIn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单泵流量不得小于</w:t>
      </w:r>
      <w:r>
        <w:rPr>
          <w:rFonts w:hint="eastAsia" w:ascii="宋体" w:hAnsi="宋体" w:eastAsia="宋体" w:cs="宋体"/>
          <w:bCs/>
          <w:color w:val="auto"/>
          <w:sz w:val="24"/>
          <w:szCs w:val="24"/>
          <w:highlight w:val="none"/>
        </w:rPr>
        <w:t>100L/min</w:t>
      </w:r>
      <w:r>
        <w:rPr>
          <w:rFonts w:hint="eastAsia" w:ascii="宋体" w:hAnsi="宋体" w:eastAsia="宋体" w:cs="宋体"/>
          <w:bCs/>
          <w:color w:val="auto"/>
          <w:sz w:val="24"/>
          <w:szCs w:val="24"/>
          <w:highlight w:val="none"/>
        </w:rPr>
        <w:t>，功率不得大于</w:t>
      </w:r>
      <w:r>
        <w:rPr>
          <w:rFonts w:hint="eastAsia" w:ascii="宋体" w:hAnsi="宋体" w:eastAsia="宋体" w:cs="宋体"/>
          <w:bCs/>
          <w:color w:val="auto"/>
          <w:sz w:val="24"/>
          <w:szCs w:val="24"/>
          <w:highlight w:val="none"/>
        </w:rPr>
        <w:t>30kw</w:t>
      </w:r>
      <w:r>
        <w:rPr>
          <w:rFonts w:hint="eastAsia" w:ascii="宋体" w:hAnsi="宋体" w:eastAsia="宋体" w:cs="宋体"/>
          <w:bCs/>
          <w:color w:val="auto"/>
          <w:sz w:val="24"/>
          <w:szCs w:val="24"/>
          <w:highlight w:val="none"/>
        </w:rPr>
        <w:t>。</w:t>
      </w:r>
    </w:p>
    <w:p w14:paraId="770AD1FC">
      <w:pPr>
        <w:numPr>
          <w:ilvl w:val="0"/>
          <w:numId w:val="5"/>
        </w:numPr>
        <w:autoSpaceDE w:val="0"/>
        <w:autoSpaceDN w:val="0"/>
        <w:adjustRightIn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细水雾粒径必须满足：</w:t>
      </w:r>
      <w:r>
        <w:rPr>
          <w:rFonts w:hint="eastAsia" w:ascii="宋体" w:hAnsi="宋体" w:eastAsia="宋体" w:cs="宋体"/>
          <w:color w:val="auto"/>
          <w:sz w:val="24"/>
          <w:szCs w:val="24"/>
          <w:highlight w:val="none"/>
        </w:rPr>
        <w:t>雾滴直径</w:t>
      </w:r>
      <w:r>
        <w:rPr>
          <w:rFonts w:hint="eastAsia" w:ascii="宋体" w:hAnsi="宋体" w:eastAsia="宋体" w:cs="宋体"/>
          <w:color w:val="auto"/>
          <w:sz w:val="24"/>
          <w:szCs w:val="24"/>
          <w:highlight w:val="none"/>
        </w:rPr>
        <w:t>（Dv0.5）50um~100um</w:t>
      </w:r>
      <w:r>
        <w:rPr>
          <w:rFonts w:hint="eastAsia" w:ascii="宋体" w:hAnsi="宋体" w:eastAsia="宋体" w:cs="宋体"/>
          <w:color w:val="auto"/>
          <w:sz w:val="24"/>
          <w:szCs w:val="24"/>
          <w:highlight w:val="none"/>
        </w:rPr>
        <w:t>，须提供检验报告等证明材料</w:t>
      </w:r>
    </w:p>
    <w:p w14:paraId="161E93E1">
      <w:pPr>
        <w:numPr>
          <w:ilvl w:val="0"/>
          <w:numId w:val="5"/>
        </w:numPr>
        <w:autoSpaceDE w:val="0"/>
        <w:autoSpaceDN w:val="0"/>
        <w:adjustRightIn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区域控制阀组执行器必须采用电动阀。</w:t>
      </w:r>
    </w:p>
    <w:p w14:paraId="221D36A7">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rPr>
        <w:t xml:space="preserve">系统技术要求 </w:t>
      </w:r>
    </w:p>
    <w:p w14:paraId="6B3D841E">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rPr>
        <w:t>高压泵组</w:t>
      </w:r>
    </w:p>
    <w:p w14:paraId="5DD9563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压泵组由高压泵、稳压泵、泵控制柜、调节水箱(含液位显示及控制器)、水箱进水过滤器及电磁阀、安全泄压阀、压力传感器、机架及连接管道、阀件等组成。由液位控制器实现对水箱自动补水；安全泄压阀用于调节泵组的出口压力；泵组部件主要材料为不锈钢。</w:t>
      </w:r>
    </w:p>
    <w:p w14:paraId="78636F0A">
      <w:pPr>
        <w:spacing w:line="360" w:lineRule="auto"/>
        <w:ind w:firstLine="482" w:firstLineChars="200"/>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高压泵</w:t>
      </w:r>
      <w:r>
        <w:rPr>
          <w:rFonts w:hint="eastAsia" w:ascii="宋体" w:hAnsi="宋体" w:eastAsia="宋体" w:cs="宋体"/>
          <w:color w:val="auto"/>
          <w:sz w:val="24"/>
          <w:szCs w:val="24"/>
          <w:highlight w:val="none"/>
        </w:rPr>
        <w:t>运行应平稳可靠，选型应满足系统设计要求，要求泵组结构紧凑，占地面积和体积小。每套泵组设置一台备用泵，备用泵型号与主泵相同</w:t>
      </w:r>
      <w:r>
        <w:rPr>
          <w:rFonts w:hint="eastAsia" w:ascii="宋体" w:hAnsi="宋体" w:eastAsia="宋体" w:cs="宋体"/>
          <w:color w:val="auto"/>
          <w:sz w:val="24"/>
          <w:szCs w:val="24"/>
          <w:highlight w:val="none"/>
          <w:lang w:eastAsia="zh-CN"/>
        </w:rPr>
        <w:t>。</w:t>
      </w:r>
    </w:p>
    <w:p w14:paraId="55F82C16">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rPr>
        <w:t>稳压泵</w:t>
      </w:r>
    </w:p>
    <w:p w14:paraId="2277100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在系统非火灾状态管网压力由稳压泵维持，它可以对小的压力波动以及泄漏进行补偿。</w:t>
      </w:r>
    </w:p>
    <w:p w14:paraId="560825E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应提供稳压泵的启动方式，并提供稳压泵的详细技术及功能参数</w:t>
      </w:r>
    </w:p>
    <w:p w14:paraId="23B413B1">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rPr>
        <w:t>安全泄压阀</w:t>
      </w:r>
    </w:p>
    <w:p w14:paraId="53CA03F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压泵组自带安全泄压阀，用于调节泵组的出口压力，当出口压力超过泵组的出口压力设计时，则通过旁通管道经过安全卸压阀旁通至水箱，使管网压力恒定在设计值内，系统提供过压保护。安全泄压阀压力设定为工作压力的1.15倍。</w:t>
      </w:r>
    </w:p>
    <w:p w14:paraId="6C3E22A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安全泄压阀材质为不锈钢，安全泄压阀压力设定范围8</w:t>
      </w:r>
      <w:r>
        <w:rPr>
          <w:rFonts w:hint="eastAsia" w:ascii="宋体" w:hAnsi="宋体" w:eastAsia="宋体" w:cs="宋体"/>
          <w:color w:val="auto"/>
          <w:sz w:val="24"/>
          <w:szCs w:val="24"/>
          <w:highlight w:val="none"/>
        </w:rPr>
        <w:sym w:font="Symbol" w:char="F07E"/>
      </w:r>
      <w:r>
        <w:rPr>
          <w:rFonts w:hint="eastAsia" w:ascii="宋体" w:hAnsi="宋体" w:eastAsia="宋体" w:cs="宋体"/>
          <w:color w:val="auto"/>
          <w:sz w:val="24"/>
          <w:szCs w:val="24"/>
          <w:highlight w:val="none"/>
        </w:rPr>
        <w:t>14MPa。</w:t>
      </w:r>
    </w:p>
    <w:p w14:paraId="05AF58D6">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.4</w:t>
      </w:r>
      <w:r>
        <w:rPr>
          <w:rFonts w:hint="eastAsia" w:ascii="宋体" w:hAnsi="宋体" w:eastAsia="宋体" w:cs="宋体"/>
          <w:b/>
          <w:color w:val="auto"/>
          <w:sz w:val="24"/>
          <w:szCs w:val="24"/>
          <w:highlight w:val="none"/>
        </w:rPr>
        <w:t>调节水箱</w:t>
      </w:r>
    </w:p>
    <w:p w14:paraId="2D608BC2">
      <w:pP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高压泵组需自带调节水箱，调节水箱容积不小于8</w:t>
      </w:r>
      <w:r>
        <w:rPr>
          <w:rFonts w:hint="eastAsia" w:ascii="宋体" w:hAnsi="宋体" w:eastAsia="宋体" w:cs="宋体"/>
          <w:bCs/>
          <w:color w:val="auto"/>
          <w:sz w:val="24"/>
          <w:szCs w:val="24"/>
          <w:highlight w:val="none"/>
        </w:rPr>
        <w:t>00</w:t>
      </w:r>
      <w:r>
        <w:rPr>
          <w:rFonts w:hint="eastAsia" w:ascii="宋体" w:hAnsi="宋体" w:eastAsia="宋体" w:cs="宋体"/>
          <w:bCs/>
          <w:color w:val="auto"/>
          <w:sz w:val="24"/>
          <w:szCs w:val="24"/>
          <w:highlight w:val="none"/>
        </w:rPr>
        <w:t>L，含液位显示及控制器。</w:t>
      </w:r>
    </w:p>
    <w:p w14:paraId="5B456BC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调节水箱补水电磁阀由水泵控制柜PLC监控模块根据水箱水位与水位设定值进行比较。当水箱液位低于预设定水位时，开启水箱补水电磁阀对水箱进行补水。当水箱液位达到预设定水位时则关闭水箱补水电磁阀。补水电磁阀主要部件材质为不锈钢，输入电压为AC 220V。</w:t>
      </w:r>
    </w:p>
    <w:p w14:paraId="3042643B">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水箱的进水管须安装聚丙烯纤维缠绕过滤器</w:t>
      </w:r>
    </w:p>
    <w:p w14:paraId="7BB659F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过滤器最大过滤尺寸不得大于10µm，</w:t>
      </w:r>
      <w:r>
        <w:rPr>
          <w:rFonts w:hint="eastAsia" w:ascii="宋体" w:hAnsi="宋体" w:eastAsia="宋体" w:cs="宋体"/>
          <w:color w:val="auto"/>
          <w:sz w:val="24"/>
          <w:szCs w:val="24"/>
          <w:highlight w:val="none"/>
        </w:rPr>
        <w:t>同时需要小于最小喷头流水通径的80%。过滤器须设置旁通管及旁通应急阀门（常闭状态），以便过滤器出现故障时不影响灭火系统的运行。同时过滤器二端须配置检修阀门，便于过滤器的检修和维护。过滤器工作压力为0.2~0.6 MPa。</w:t>
      </w:r>
    </w:p>
    <w:p w14:paraId="0058EE95">
      <w:pPr>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补水要求</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系统采</w:t>
      </w:r>
      <w:r>
        <w:rPr>
          <w:rFonts w:hint="eastAsia" w:ascii="宋体" w:hAnsi="宋体" w:eastAsia="宋体" w:cs="宋体"/>
          <w:color w:val="auto"/>
          <w:sz w:val="24"/>
          <w:szCs w:val="24"/>
          <w:highlight w:val="none"/>
        </w:rPr>
        <w:t>用消防水池增压供水方式供水，消防水池预留高压细水雾系统用水量,并设增压泵两台，一用一备。高压细水雾泵组补水电磁阀开启时，同时启动增压泵。</w:t>
      </w:r>
    </w:p>
    <w:p w14:paraId="22DB8B62">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rPr>
        <w:t>区域控制阀组</w:t>
      </w:r>
    </w:p>
    <w:p w14:paraId="504209B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细水雾区域控制阀组有手动启动功能，能进行电动及机械应急启动；</w:t>
      </w:r>
    </w:p>
    <w:p w14:paraId="35A2FBF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细水雾区域控制阀组出口应装有试验放水装置，用于对系统进行调试及检测。</w:t>
      </w:r>
    </w:p>
    <w:p w14:paraId="589FED6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细水雾区域控制阀组可输出压力开关反馈信号、电动阀开启信号。</w:t>
      </w:r>
    </w:p>
    <w:p w14:paraId="488BAF5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区域控制阀组局部阻力损失不大于0.</w:t>
      </w:r>
      <w:r>
        <w:rPr>
          <w:rFonts w:hint="eastAsia" w:ascii="宋体" w:hAnsi="宋体" w:eastAsia="宋体" w:cs="宋体"/>
          <w:bCs/>
          <w:color w:val="auto"/>
          <w:sz w:val="24"/>
          <w:szCs w:val="24"/>
          <w:highlight w:val="none"/>
        </w:rPr>
        <w:t>06</w:t>
      </w:r>
      <w:r>
        <w:rPr>
          <w:rFonts w:hint="eastAsia" w:ascii="宋体" w:hAnsi="宋体" w:eastAsia="宋体" w:cs="宋体"/>
          <w:bCs/>
          <w:color w:val="auto"/>
          <w:sz w:val="24"/>
          <w:szCs w:val="24"/>
          <w:highlight w:val="none"/>
        </w:rPr>
        <w:t>MPa。</w:t>
      </w:r>
    </w:p>
    <w:p w14:paraId="0B74EDEB">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rPr>
        <w:t>高压细水雾喷头</w:t>
      </w:r>
    </w:p>
    <w:p w14:paraId="7E90689C">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喷头需由喷头主体和喷嘴组成，喷头主体材质为铜合金</w:t>
      </w:r>
      <w:r>
        <w:rPr>
          <w:rFonts w:hint="eastAsia" w:ascii="宋体" w:hAnsi="宋体" w:eastAsia="宋体" w:cs="宋体"/>
          <w:b/>
          <w:color w:val="auto"/>
          <w:sz w:val="24"/>
          <w:szCs w:val="24"/>
          <w:highlight w:val="none"/>
          <w:lang w:val="en-US" w:eastAsia="zh-CN"/>
        </w:rPr>
        <w:t>或</w:t>
      </w:r>
      <w:r>
        <w:rPr>
          <w:rFonts w:hint="eastAsia" w:ascii="宋体" w:hAnsi="宋体" w:eastAsia="宋体" w:cs="宋体"/>
          <w:b/>
          <w:color w:val="auto"/>
          <w:sz w:val="24"/>
          <w:szCs w:val="24"/>
          <w:highlight w:val="none"/>
        </w:rPr>
        <w:t>不锈钢，喷嘴材质为不锈钢。</w:t>
      </w:r>
    </w:p>
    <w:p w14:paraId="5282818C">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喷头内设过滤装置，喷头表面应光洁，无加工缺陷及机械损伤。</w:t>
      </w:r>
    </w:p>
    <w:p w14:paraId="6CEAEC9C">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细水雾雾滴直应符合DV0.99≤100µm，DV0.5≤</w:t>
      </w:r>
      <w:r>
        <w:rPr>
          <w:rFonts w:hint="eastAsia" w:ascii="宋体" w:hAnsi="宋体" w:eastAsia="宋体" w:cs="宋体"/>
          <w:bCs/>
          <w:color w:val="auto"/>
          <w:sz w:val="24"/>
          <w:szCs w:val="24"/>
          <w:highlight w:val="none"/>
          <w:lang w:val="en-US" w:eastAsia="zh-CN"/>
        </w:rPr>
        <w:t>65</w:t>
      </w:r>
      <w:r>
        <w:rPr>
          <w:rFonts w:hint="eastAsia" w:ascii="宋体" w:hAnsi="宋体" w:eastAsia="宋体" w:cs="宋体"/>
          <w:bCs/>
          <w:color w:val="auto"/>
          <w:sz w:val="24"/>
          <w:szCs w:val="24"/>
          <w:highlight w:val="none"/>
        </w:rPr>
        <w:t>µm；</w:t>
      </w:r>
    </w:p>
    <w:p w14:paraId="1E0D260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开式喷头安装间距不大于3.0m，不小于1.5m，距离墙不大于1.5m。闭式喷头安装间距不大于3.0m，不小于2.0m，距墙不大于1.5m。</w:t>
      </w:r>
    </w:p>
    <w:p w14:paraId="0E2D6EA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根据保护对象的火灾危险性及空间尺寸选用高压细水雾喷头：</w:t>
      </w:r>
    </w:p>
    <w:p w14:paraId="6171A319">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防护区</w:t>
      </w:r>
      <w:r>
        <w:rPr>
          <w:rFonts w:hint="eastAsia" w:ascii="宋体" w:hAnsi="宋体" w:eastAsia="宋体" w:cs="宋体"/>
          <w:color w:val="auto"/>
          <w:sz w:val="24"/>
          <w:szCs w:val="24"/>
          <w:highlight w:val="none"/>
          <w:lang w:val="en-US" w:eastAsia="zh-CN"/>
        </w:rPr>
        <w:t>-电动自行车库，</w:t>
      </w:r>
      <w:r>
        <w:rPr>
          <w:rFonts w:hint="eastAsia" w:ascii="宋体" w:hAnsi="宋体" w:eastAsia="宋体" w:cs="宋体"/>
          <w:color w:val="auto"/>
          <w:sz w:val="24"/>
          <w:szCs w:val="24"/>
          <w:highlight w:val="none"/>
          <w:lang w:val="zh-CN"/>
        </w:rPr>
        <w:t>采用K=0.5的开式喷嘴，q=5L/min，</w:t>
      </w:r>
    </w:p>
    <w:p w14:paraId="1ED112A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喷</w:t>
      </w:r>
      <w:r>
        <w:rPr>
          <w:rFonts w:hint="eastAsia" w:ascii="宋体" w:hAnsi="宋体" w:eastAsia="宋体" w:cs="宋体"/>
          <w:color w:val="auto"/>
          <w:sz w:val="24"/>
          <w:szCs w:val="24"/>
          <w:highlight w:val="none"/>
          <w:lang w:val="en-US" w:eastAsia="zh-CN"/>
        </w:rPr>
        <w:t>嘴</w:t>
      </w:r>
      <w:r>
        <w:rPr>
          <w:rFonts w:hint="eastAsia" w:ascii="宋体" w:hAnsi="宋体" w:eastAsia="宋体" w:cs="宋体"/>
          <w:color w:val="auto"/>
          <w:sz w:val="24"/>
          <w:szCs w:val="24"/>
          <w:highlight w:val="none"/>
        </w:rPr>
        <w:t>的安装间距不大于</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m</w:t>
      </w:r>
      <w:r>
        <w:rPr>
          <w:rFonts w:hint="eastAsia" w:ascii="宋体" w:hAnsi="宋体" w:eastAsia="宋体" w:cs="宋体"/>
          <w:color w:val="auto"/>
          <w:sz w:val="24"/>
          <w:szCs w:val="24"/>
          <w:highlight w:val="none"/>
          <w:lang w:eastAsia="zh-CN"/>
        </w:rPr>
        <w:t>。</w:t>
      </w:r>
    </w:p>
    <w:p w14:paraId="4451222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防护区</w:t>
      </w:r>
      <w:r>
        <w:rPr>
          <w:rFonts w:hint="eastAsia" w:ascii="宋体" w:hAnsi="宋体" w:eastAsia="宋体" w:cs="宋体"/>
          <w:color w:val="auto"/>
          <w:sz w:val="24"/>
          <w:szCs w:val="24"/>
          <w:highlight w:val="none"/>
          <w:lang w:val="en-US" w:eastAsia="zh-CN"/>
        </w:rPr>
        <w:t>-电动汽车车库，采</w:t>
      </w:r>
      <w:r>
        <w:rPr>
          <w:rFonts w:hint="eastAsia" w:ascii="宋体" w:hAnsi="宋体" w:eastAsia="宋体" w:cs="宋体"/>
          <w:color w:val="auto"/>
          <w:sz w:val="24"/>
          <w:szCs w:val="24"/>
          <w:highlight w:val="none"/>
        </w:rPr>
        <w:t>用K=</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开式喷头，q=</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7L/min;</w:t>
      </w:r>
    </w:p>
    <w:p w14:paraId="099A3A1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喷头的安装间距不大于3.0m，不小于1.5m，距墙不大于1.5m。</w:t>
      </w:r>
    </w:p>
    <w:p w14:paraId="4378D48D">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.7</w:t>
      </w:r>
      <w:r>
        <w:rPr>
          <w:rFonts w:hint="eastAsia" w:ascii="宋体" w:hAnsi="宋体" w:eastAsia="宋体" w:cs="宋体"/>
          <w:b/>
          <w:bCs/>
          <w:color w:val="auto"/>
          <w:sz w:val="24"/>
          <w:szCs w:val="24"/>
          <w:highlight w:val="none"/>
        </w:rPr>
        <w:t>管网及配件</w:t>
      </w:r>
    </w:p>
    <w:p w14:paraId="253F354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细水雾灭火系统管道和管接件应采用满足系统工作压力要求的不锈钢管，材质为316L，应保证端口平齐端正，管道穿过墙壁楼板处应安装套管，穿墙套管长度应和墙厚相等，穿过楼板套管长度应高出地面50mm，管道与套管间空隙应采用柔性不燃材料填塞密实。</w:t>
      </w:r>
    </w:p>
    <w:p w14:paraId="57EA8B5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管道应固定牢固管道与支吊架之间应用橡胶垫或石棉垫绝缘，支吊架之间最大间距应符合下表，管道末端处应采用支架固定，支架与喷头的管道长度不应大于250mm。管道材质为316L不锈钢管。</w:t>
      </w:r>
    </w:p>
    <w:p w14:paraId="1A57887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道系统安装完毕后，应进行水压强度试验和气压严密性试验。水压强度试验压力为系统设计工作压力的1.5倍，试压采用试压装置缓慢升压至试验压力后，稳压5min，管道无损坏、变形，再将试验压力降至设计压力，稳压120min，以压力不降、无泄漏、目测管道无变形为合格。水压强度试验合格后，应进行吹扫。吹扫管道可采用压缩空气或氮气。采用白布检查，直至无铁锈、灰尘、水渍及其它胀物出现。    </w:t>
      </w:r>
    </w:p>
    <w:tbl>
      <w:tblPr>
        <w:tblStyle w:val="66"/>
        <w:tblpPr w:leftFromText="180" w:rightFromText="180" w:vertAnchor="text" w:horzAnchor="page" w:tblpX="1145" w:tblpY="385"/>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6"/>
        <w:gridCol w:w="1021"/>
        <w:gridCol w:w="1021"/>
        <w:gridCol w:w="1021"/>
        <w:gridCol w:w="1021"/>
        <w:gridCol w:w="1021"/>
        <w:gridCol w:w="1024"/>
        <w:gridCol w:w="1024"/>
        <w:gridCol w:w="1024"/>
      </w:tblGrid>
      <w:tr w14:paraId="1BFBF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trPr>
        <w:tc>
          <w:tcPr>
            <w:tcW w:w="895" w:type="pct"/>
            <w:noWrap w:val="0"/>
            <w:vAlign w:val="center"/>
          </w:tcPr>
          <w:p w14:paraId="2CBDE92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管道外径（mm）</w:t>
            </w:r>
          </w:p>
        </w:tc>
        <w:tc>
          <w:tcPr>
            <w:tcW w:w="512" w:type="pct"/>
            <w:noWrap w:val="0"/>
            <w:vAlign w:val="center"/>
          </w:tcPr>
          <w:p w14:paraId="7CAAD3C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512" w:type="pct"/>
            <w:noWrap w:val="0"/>
            <w:vAlign w:val="center"/>
          </w:tcPr>
          <w:p w14:paraId="68F4F78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512" w:type="pct"/>
            <w:noWrap w:val="0"/>
            <w:vAlign w:val="center"/>
          </w:tcPr>
          <w:p w14:paraId="1146FC8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28</w:t>
            </w:r>
          </w:p>
        </w:tc>
        <w:tc>
          <w:tcPr>
            <w:tcW w:w="512" w:type="pct"/>
            <w:noWrap w:val="0"/>
            <w:vAlign w:val="center"/>
          </w:tcPr>
          <w:p w14:paraId="24BEB4B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34</w:t>
            </w:r>
          </w:p>
        </w:tc>
        <w:tc>
          <w:tcPr>
            <w:tcW w:w="512" w:type="pct"/>
            <w:noWrap w:val="0"/>
            <w:vAlign w:val="center"/>
          </w:tcPr>
          <w:p w14:paraId="20A3417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w:t>
            </w:r>
          </w:p>
        </w:tc>
        <w:tc>
          <w:tcPr>
            <w:tcW w:w="513" w:type="pct"/>
            <w:noWrap w:val="0"/>
            <w:vAlign w:val="center"/>
          </w:tcPr>
          <w:p w14:paraId="607A268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48</w:t>
            </w:r>
          </w:p>
        </w:tc>
        <w:tc>
          <w:tcPr>
            <w:tcW w:w="513" w:type="pct"/>
            <w:noWrap w:val="0"/>
            <w:vAlign w:val="center"/>
          </w:tcPr>
          <w:p w14:paraId="72D24D8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60</w:t>
            </w:r>
          </w:p>
        </w:tc>
        <w:tc>
          <w:tcPr>
            <w:tcW w:w="513" w:type="pct"/>
            <w:noWrap w:val="0"/>
            <w:vAlign w:val="center"/>
          </w:tcPr>
          <w:p w14:paraId="52155B9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76</w:t>
            </w:r>
          </w:p>
        </w:tc>
      </w:tr>
      <w:tr w14:paraId="3897B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pct"/>
            <w:noWrap w:val="0"/>
            <w:vAlign w:val="center"/>
          </w:tcPr>
          <w:p w14:paraId="3179659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公称直径</w:t>
            </w:r>
          </w:p>
        </w:tc>
        <w:tc>
          <w:tcPr>
            <w:tcW w:w="512" w:type="pct"/>
            <w:noWrap w:val="0"/>
            <w:vAlign w:val="center"/>
          </w:tcPr>
          <w:p w14:paraId="1C38DC6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DN10</w:t>
            </w:r>
          </w:p>
        </w:tc>
        <w:tc>
          <w:tcPr>
            <w:tcW w:w="512" w:type="pct"/>
            <w:noWrap w:val="0"/>
            <w:vAlign w:val="center"/>
          </w:tcPr>
          <w:p w14:paraId="1E9BC79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DN15</w:t>
            </w:r>
          </w:p>
        </w:tc>
        <w:tc>
          <w:tcPr>
            <w:tcW w:w="512" w:type="pct"/>
            <w:noWrap w:val="0"/>
            <w:vAlign w:val="center"/>
          </w:tcPr>
          <w:p w14:paraId="78894A5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DN20</w:t>
            </w:r>
          </w:p>
        </w:tc>
        <w:tc>
          <w:tcPr>
            <w:tcW w:w="512" w:type="pct"/>
            <w:noWrap w:val="0"/>
            <w:vAlign w:val="center"/>
          </w:tcPr>
          <w:p w14:paraId="38B5BDD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DN25</w:t>
            </w:r>
          </w:p>
        </w:tc>
        <w:tc>
          <w:tcPr>
            <w:tcW w:w="512" w:type="pct"/>
            <w:noWrap w:val="0"/>
            <w:vAlign w:val="center"/>
          </w:tcPr>
          <w:p w14:paraId="17E07F0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DN32</w:t>
            </w:r>
          </w:p>
        </w:tc>
        <w:tc>
          <w:tcPr>
            <w:tcW w:w="513" w:type="pct"/>
            <w:noWrap w:val="0"/>
            <w:vAlign w:val="center"/>
          </w:tcPr>
          <w:p w14:paraId="14E4674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DN40</w:t>
            </w:r>
          </w:p>
        </w:tc>
        <w:tc>
          <w:tcPr>
            <w:tcW w:w="513" w:type="pct"/>
            <w:noWrap w:val="0"/>
            <w:vAlign w:val="center"/>
          </w:tcPr>
          <w:p w14:paraId="50DE481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DN50</w:t>
            </w:r>
          </w:p>
        </w:tc>
        <w:tc>
          <w:tcPr>
            <w:tcW w:w="513" w:type="pct"/>
            <w:noWrap w:val="0"/>
            <w:vAlign w:val="center"/>
          </w:tcPr>
          <w:p w14:paraId="66A5F7D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DN</w:t>
            </w:r>
            <w:r>
              <w:rPr>
                <w:rFonts w:hint="eastAsia" w:ascii="宋体" w:hAnsi="宋体" w:eastAsia="宋体" w:cs="宋体"/>
                <w:color w:val="auto"/>
                <w:szCs w:val="21"/>
                <w:highlight w:val="none"/>
              </w:rPr>
              <w:t>65</w:t>
            </w:r>
          </w:p>
        </w:tc>
      </w:tr>
      <w:tr w14:paraId="4C8C7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pct"/>
            <w:noWrap w:val="0"/>
            <w:vAlign w:val="center"/>
          </w:tcPr>
          <w:p w14:paraId="38332D2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最大间距（m）</w:t>
            </w:r>
          </w:p>
        </w:tc>
        <w:tc>
          <w:tcPr>
            <w:tcW w:w="512" w:type="pct"/>
            <w:noWrap w:val="0"/>
            <w:vAlign w:val="center"/>
          </w:tcPr>
          <w:p w14:paraId="4656DA9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512" w:type="pct"/>
            <w:noWrap w:val="0"/>
            <w:vAlign w:val="center"/>
          </w:tcPr>
          <w:p w14:paraId="42ABE07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p>
        </w:tc>
        <w:tc>
          <w:tcPr>
            <w:tcW w:w="512" w:type="pct"/>
            <w:noWrap w:val="0"/>
            <w:vAlign w:val="center"/>
          </w:tcPr>
          <w:p w14:paraId="3154532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512" w:type="pct"/>
            <w:noWrap w:val="0"/>
            <w:vAlign w:val="center"/>
          </w:tcPr>
          <w:p w14:paraId="12ADA0E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2.8</w:t>
            </w:r>
          </w:p>
        </w:tc>
        <w:tc>
          <w:tcPr>
            <w:tcW w:w="512" w:type="pct"/>
            <w:noWrap w:val="0"/>
            <w:vAlign w:val="center"/>
          </w:tcPr>
          <w:p w14:paraId="31772AE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2.8</w:t>
            </w:r>
          </w:p>
        </w:tc>
        <w:tc>
          <w:tcPr>
            <w:tcW w:w="513" w:type="pct"/>
            <w:noWrap w:val="0"/>
            <w:vAlign w:val="center"/>
          </w:tcPr>
          <w:p w14:paraId="68DFB86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2.8</w:t>
            </w:r>
          </w:p>
        </w:tc>
        <w:tc>
          <w:tcPr>
            <w:tcW w:w="513" w:type="pct"/>
            <w:noWrap w:val="0"/>
            <w:vAlign w:val="center"/>
          </w:tcPr>
          <w:p w14:paraId="7971A8A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w:t>
            </w:r>
          </w:p>
        </w:tc>
        <w:tc>
          <w:tcPr>
            <w:tcW w:w="513" w:type="pct"/>
            <w:noWrap w:val="0"/>
            <w:vAlign w:val="center"/>
          </w:tcPr>
          <w:p w14:paraId="15E11D9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3.8</w:t>
            </w:r>
          </w:p>
        </w:tc>
      </w:tr>
    </w:tbl>
    <w:p w14:paraId="25251E4A">
      <w:pPr>
        <w:spacing w:line="360" w:lineRule="auto"/>
        <w:ind w:firstLine="480" w:firstLineChars="200"/>
        <w:rPr>
          <w:rFonts w:hint="eastAsia" w:ascii="宋体" w:hAnsi="宋体" w:eastAsia="宋体" w:cs="宋体"/>
          <w:color w:val="auto"/>
          <w:sz w:val="24"/>
          <w:szCs w:val="24"/>
          <w:highlight w:val="none"/>
        </w:rPr>
      </w:pPr>
    </w:p>
    <w:p w14:paraId="459DE8D5">
      <w:pPr>
        <w:tabs>
          <w:tab w:val="left" w:pos="352"/>
        </w:tabs>
        <w:bidi w:val="0"/>
        <w:jc w:val="left"/>
        <w:rPr>
          <w:rFonts w:hint="eastAsia" w:ascii="宋体" w:hAnsi="宋体" w:eastAsia="宋体" w:cs="宋体"/>
          <w:b/>
          <w:bCs/>
          <w:color w:val="auto"/>
          <w:sz w:val="24"/>
          <w:szCs w:val="24"/>
          <w:highlight w:val="none"/>
        </w:rPr>
      </w:pPr>
      <w:bookmarkStart w:id="26" w:name="_Toc208825611"/>
      <w:bookmarkStart w:id="27" w:name="_Toc208827791"/>
      <w:bookmarkStart w:id="28" w:name="_Toc208828233"/>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、高压细水雾系统工作原理及操作与控制</w:t>
      </w:r>
      <w:bookmarkEnd w:id="26"/>
      <w:bookmarkEnd w:id="27"/>
      <w:bookmarkEnd w:id="28"/>
    </w:p>
    <w:p w14:paraId="69A837D7">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rPr>
        <w:t>开式系统工作原理</w:t>
      </w:r>
    </w:p>
    <w:p w14:paraId="1DC5B18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准工作状态下，从泵组出口至区域阀前的管网应由稳压泵维持压力1.0-1.2MPa，阀后空管。发生火灾后，由火灾报警系统联动开启对应的区域控制阀和主泵，喷放细水雾灭火；或者手动开启对应的区域控制阀，管网降压自动启动主泵，喷放细水雾灭火。经人员确认火灾扑灭后，手动关闭主泵和区域控制阀，火灾报警系统复位，管网恢复、系统复位。</w:t>
      </w:r>
    </w:p>
    <w:p w14:paraId="45E188CD">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rPr>
        <w:t>开式系统控制方式</w:t>
      </w:r>
    </w:p>
    <w:p w14:paraId="02002E3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当发生火灾时，开式系统应具备三种控制方式：自动控制、手动控制和应急操作。</w:t>
      </w:r>
    </w:p>
    <w:p w14:paraId="42940DB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自动控制：高压细水雾灭火系统报警主机接收到灭火分区内一路探测器报警后，联动开启消防警铃；接收到两路探测器报警后，联动开启声光报警器,输出确认火灾信号，联动打开对应的区域控制阀和主泵，喷放细水雾灭火。区域阀组内的压力开关反馈系统喷放信号，灭火报警主机联动开启对应的喷雾指示灯。</w:t>
      </w:r>
    </w:p>
    <w:p w14:paraId="51F3063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手动控制：当现场人员确认火灾且自动控制还未动作，可按下对应区域控制阀的手动启动按钮，打开区域控制阀，管网降压自动启动主泵，喷放细水雾灭火；或者按下对应手动报警按钮，联动打开对应的区域控制阀和主泵，喷放细水雾灭火。区域阀组内的压力开关反馈系统喷放信号，灭火报警主机联动开启对应的喷雾指示灯。</w:t>
      </w:r>
    </w:p>
    <w:p w14:paraId="0DD3ACB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应急操作：当自动控制与手动控制失效时，手动操作区域控制阀的应急手柄，打开对应的区域控制阀，管网降压启动自动启动主泵，喷放细水雾灭火。区域阀组内的压力开关反馈系统喷放信号，灭火报警主机联动开启对应的喷雾指示灯。</w:t>
      </w:r>
    </w:p>
    <w:p w14:paraId="3D59DD16">
      <w:pPr>
        <w:spacing w:line="360" w:lineRule="auto"/>
        <w:rPr>
          <w:rFonts w:hint="eastAsia" w:ascii="宋体" w:hAnsi="宋体" w:eastAsia="宋体" w:cs="宋体"/>
          <w:b/>
          <w:color w:val="auto"/>
          <w:sz w:val="24"/>
          <w:szCs w:val="24"/>
          <w:highlight w:val="none"/>
        </w:rPr>
      </w:pPr>
      <w:bookmarkStart w:id="29" w:name="_Toc188620631"/>
      <w:bookmarkStart w:id="30" w:name="_Toc188796334"/>
      <w:bookmarkStart w:id="31" w:name="_Toc28759"/>
      <w:bookmarkStart w:id="32" w:name="_Toc188620255"/>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rPr>
        <w:t>与其它系统专业的接口</w:t>
      </w:r>
      <w:bookmarkEnd w:id="29"/>
      <w:bookmarkEnd w:id="30"/>
      <w:bookmarkEnd w:id="31"/>
      <w:bookmarkEnd w:id="32"/>
    </w:p>
    <w:p w14:paraId="7DDA597F">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.1与建筑专业接口要求</w:t>
      </w:r>
    </w:p>
    <w:p w14:paraId="2F08110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.1.1消防泵房的环境温度保持在4～50摄氏度，耐火等级不低于二级，室内保持干燥和良好通风。</w:t>
      </w:r>
    </w:p>
    <w:p w14:paraId="56C3C38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.1.2高压细水雾泵组设基础，基础高出地面找平层200mm，泵组运行荷载为4</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T。基础强度需土建专业校核。</w:t>
      </w:r>
    </w:p>
    <w:p w14:paraId="1C2FABB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.2与供电专业接口：</w:t>
      </w:r>
    </w:p>
    <w:p w14:paraId="69C1B50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.2.1配电系统需分别提供两路</w:t>
      </w:r>
      <w:r>
        <w:rPr>
          <w:rFonts w:hint="eastAsia" w:ascii="宋体" w:hAnsi="宋体" w:eastAsia="宋体" w:cs="宋体"/>
          <w:color w:val="auto"/>
          <w:sz w:val="24"/>
          <w:szCs w:val="24"/>
          <w:highlight w:val="none"/>
        </w:rPr>
        <w:t>AC380V/1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0KW</w:t>
      </w:r>
      <w:r>
        <w:rPr>
          <w:rFonts w:hint="eastAsia" w:ascii="宋体" w:hAnsi="宋体" w:eastAsia="宋体" w:cs="宋体"/>
          <w:color w:val="auto"/>
          <w:sz w:val="24"/>
          <w:szCs w:val="24"/>
          <w:highlight w:val="none"/>
        </w:rPr>
        <w:t>及两路</w:t>
      </w:r>
      <w:r>
        <w:rPr>
          <w:rFonts w:hint="eastAsia" w:ascii="宋体" w:hAnsi="宋体" w:eastAsia="宋体" w:cs="宋体"/>
          <w:color w:val="auto"/>
          <w:sz w:val="24"/>
          <w:szCs w:val="24"/>
          <w:highlight w:val="none"/>
        </w:rPr>
        <w:t>AC380V/7.5KW</w:t>
      </w:r>
      <w:r>
        <w:rPr>
          <w:rFonts w:hint="eastAsia" w:ascii="宋体" w:hAnsi="宋体" w:eastAsia="宋体" w:cs="宋体"/>
          <w:color w:val="auto"/>
          <w:sz w:val="24"/>
          <w:szCs w:val="24"/>
          <w:highlight w:val="none"/>
        </w:rPr>
        <w:t>电源至消防泵房，接口位置设在高压细水雾泵组及增压泵组控制柜内，包括增压泵控制柜至增压泵之间的电源线</w:t>
      </w:r>
      <w:r>
        <w:rPr>
          <w:rFonts w:hint="eastAsia" w:ascii="宋体" w:hAnsi="宋体" w:eastAsia="宋体" w:cs="宋体"/>
          <w:color w:val="auto"/>
          <w:sz w:val="24"/>
          <w:szCs w:val="24"/>
          <w:highlight w:val="none"/>
        </w:rPr>
        <w:t>WDZBN-YJY 3*6+2*4mm2</w:t>
      </w:r>
      <w:r>
        <w:rPr>
          <w:rFonts w:hint="eastAsia" w:ascii="宋体" w:hAnsi="宋体" w:eastAsia="宋体" w:cs="宋体"/>
          <w:color w:val="auto"/>
          <w:sz w:val="24"/>
          <w:szCs w:val="24"/>
          <w:highlight w:val="none"/>
        </w:rPr>
        <w:t>。进线孔在泵组控制柜底板上，设备金属外壳应作接地保护。增压泵控制柜和泵组控制柜敷设控制电缆</w:t>
      </w:r>
      <w:r>
        <w:rPr>
          <w:rFonts w:hint="eastAsia" w:ascii="宋体" w:hAnsi="宋体" w:eastAsia="宋体" w:cs="宋体"/>
          <w:color w:val="auto"/>
          <w:sz w:val="24"/>
          <w:szCs w:val="24"/>
          <w:highlight w:val="none"/>
        </w:rPr>
        <w:t>WDZBN-KYJY-2*1.5mm2</w:t>
      </w:r>
      <w:r>
        <w:rPr>
          <w:rFonts w:hint="eastAsia" w:ascii="宋体" w:hAnsi="宋体" w:eastAsia="宋体" w:cs="宋体"/>
          <w:color w:val="auto"/>
          <w:sz w:val="24"/>
          <w:szCs w:val="24"/>
          <w:highlight w:val="none"/>
        </w:rPr>
        <w:t>。</w:t>
      </w:r>
    </w:p>
    <w:p w14:paraId="2883FD1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.2.2配电系统需提供一路</w:t>
      </w:r>
      <w:r>
        <w:rPr>
          <w:rFonts w:hint="eastAsia" w:ascii="宋体" w:hAnsi="宋体" w:eastAsia="宋体" w:cs="宋体"/>
          <w:color w:val="auto"/>
          <w:sz w:val="24"/>
          <w:szCs w:val="24"/>
          <w:highlight w:val="none"/>
        </w:rPr>
        <w:t>DC24V/1A</w:t>
      </w:r>
      <w:r>
        <w:rPr>
          <w:rFonts w:hint="eastAsia" w:ascii="宋体" w:hAnsi="宋体" w:eastAsia="宋体" w:cs="宋体"/>
          <w:color w:val="auto"/>
          <w:sz w:val="24"/>
          <w:szCs w:val="24"/>
          <w:highlight w:val="none"/>
        </w:rPr>
        <w:t>消防专用电源线至现场各高压细水雾开式区域控制阀箱内，接口位置在细水雾区域控制阀箱内接线端子排上。</w:t>
      </w:r>
    </w:p>
    <w:p w14:paraId="645E5D5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.3与给排水专业接口要求</w:t>
      </w:r>
    </w:p>
    <w:p w14:paraId="20866EB7">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.3.1给排水专业需为细水雾系统提供1路市政供水水源，供水流量不小于</w:t>
      </w:r>
      <w:r>
        <w:rPr>
          <w:rFonts w:hint="eastAsia" w:ascii="宋体" w:hAnsi="宋体" w:eastAsia="宋体" w:cs="宋体"/>
          <w:color w:val="auto"/>
          <w:sz w:val="24"/>
          <w:szCs w:val="24"/>
          <w:highlight w:val="none"/>
          <w:lang w:val="en-US" w:eastAsia="zh-CN"/>
        </w:rPr>
        <w:t>500</w:t>
      </w:r>
      <w:r>
        <w:rPr>
          <w:rFonts w:hint="eastAsia" w:ascii="宋体" w:hAnsi="宋体" w:eastAsia="宋体" w:cs="宋体"/>
          <w:color w:val="auto"/>
          <w:sz w:val="24"/>
          <w:szCs w:val="24"/>
          <w:highlight w:val="none"/>
        </w:rPr>
        <w:t>L/min,并引至高压细水雾泵房高压细水雾专用储水箱接口处。</w:t>
      </w:r>
      <w:r>
        <w:rPr>
          <w:rFonts w:hint="eastAsia" w:ascii="宋体" w:hAnsi="宋体" w:eastAsia="宋体" w:cs="宋体"/>
          <w:color w:val="auto"/>
          <w:sz w:val="24"/>
          <w:szCs w:val="24"/>
          <w:highlight w:val="none"/>
          <w:lang w:val="en-US" w:eastAsia="zh-CN"/>
        </w:rPr>
        <w:t xml:space="preserve"> </w:t>
      </w:r>
    </w:p>
    <w:p w14:paraId="0FB2E66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.3.2在泵房内设置地漏及排水沟等排水设施。排水量不小于系统用水量。</w:t>
      </w:r>
    </w:p>
    <w:p w14:paraId="057747C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.4</w:t>
      </w:r>
      <w:r>
        <w:rPr>
          <w:rFonts w:hint="eastAsia" w:ascii="宋体" w:hAnsi="宋体" w:eastAsia="宋体" w:cs="宋体"/>
          <w:color w:val="auto"/>
          <w:sz w:val="24"/>
          <w:szCs w:val="24"/>
          <w:highlight w:val="none"/>
        </w:rPr>
        <w:t>与火灾报警系统接口要求</w:t>
      </w:r>
    </w:p>
    <w:p w14:paraId="0E3AD267">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细水雾保护区域内的火灾报警控制系统及与细水雾系统的联动控制部分由设计院的相关专业统一设计。具体要求如下：</w:t>
      </w:r>
    </w:p>
    <w:p w14:paraId="5B62A51E">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lang w:val="zh-CN"/>
        </w:rPr>
        <w:t>）需针对开式系统的每个保护区设置两路火灾探测器或两路不同种类的火警信号。</w:t>
      </w:r>
    </w:p>
    <w:p w14:paraId="6D93E2CE">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lang w:val="zh-CN"/>
        </w:rPr>
        <w:t>）需针对开式系统的每个保护区主要出入口的内侧设置消防警铃或声光报警器，外侧设置声光报警器和喷雾指示灯。</w:t>
      </w:r>
    </w:p>
    <w:p w14:paraId="5C2AF3E3">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lang w:val="zh-CN"/>
        </w:rPr>
        <w:t>）针对高压细水雾泵组，在消防控制中心设置远程手动控制高压细水雾泵组启动、停止，并能接收泵组运行及泵组故障信号的装置。</w:t>
      </w:r>
    </w:p>
    <w:p w14:paraId="2D0A5317">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w:t>
      </w:r>
      <w:r>
        <w:rPr>
          <w:rFonts w:hint="eastAsia" w:ascii="宋体" w:hAnsi="宋体" w:eastAsia="宋体" w:cs="宋体"/>
          <w:color w:val="auto"/>
          <w:sz w:val="24"/>
          <w:szCs w:val="24"/>
          <w:highlight w:val="none"/>
          <w:lang w:val="zh-CN"/>
        </w:rPr>
        <w:t>）控制每个保护区对应的消防警铃、声光报警器、释放指示灯。</w:t>
      </w:r>
    </w:p>
    <w:p w14:paraId="2CF9E269">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w:t>
      </w:r>
      <w:r>
        <w:rPr>
          <w:rFonts w:hint="eastAsia" w:ascii="宋体" w:hAnsi="宋体" w:eastAsia="宋体" w:cs="宋体"/>
          <w:color w:val="auto"/>
          <w:sz w:val="24"/>
          <w:szCs w:val="24"/>
          <w:highlight w:val="none"/>
          <w:lang w:val="zh-CN"/>
        </w:rPr>
        <w:t>）控制每个保护区对应的开式区域阀组内电动阀开启，并接收电动阀开启反馈信号及压力开关的动作信号。</w:t>
      </w:r>
    </w:p>
    <w:p w14:paraId="7DE0AF06">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w:t>
      </w:r>
      <w:r>
        <w:rPr>
          <w:rFonts w:hint="eastAsia" w:ascii="宋体" w:hAnsi="宋体" w:eastAsia="宋体" w:cs="宋体"/>
          <w:color w:val="auto"/>
          <w:sz w:val="24"/>
          <w:szCs w:val="24"/>
          <w:highlight w:val="none"/>
          <w:lang w:val="zh-CN"/>
        </w:rPr>
        <w:t>）系统启动时，联动切断带电保护对象的电源，并同时切断或关闭可燃气体、液体或粉体供应的设备和设施。</w:t>
      </w:r>
    </w:p>
    <w:p w14:paraId="0A1E5A7C">
      <w:pPr>
        <w:pStyle w:val="793"/>
        <w:keepNext w:val="0"/>
        <w:keepLines w:val="0"/>
        <w:pageBreakBefore w:val="0"/>
        <w:widowControl w:val="0"/>
        <w:kinsoku/>
        <w:wordWrap/>
        <w:overflowPunct/>
        <w:topLinePunct w:val="0"/>
        <w:bidi w:val="0"/>
        <w:spacing w:line="360" w:lineRule="auto"/>
        <w:ind w:left="0" w:firstLine="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项目条件</w:t>
      </w:r>
    </w:p>
    <w:p w14:paraId="2A509F16">
      <w:pPr>
        <w:keepLines w:val="0"/>
        <w:pageBreakBefore w:val="0"/>
        <w:kinsoku/>
        <w:wordWrap/>
        <w:overflowPunct/>
        <w:topLinePunct w:val="0"/>
        <w:bidi w:val="0"/>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本工程项目按照现行法律、法规和部门规章，通过磋商方式，选定</w:t>
      </w:r>
      <w:r>
        <w:rPr>
          <w:rFonts w:hint="eastAsia" w:ascii="宋体" w:hAnsi="宋体" w:eastAsia="宋体" w:cs="宋体"/>
          <w:color w:val="auto"/>
          <w:sz w:val="24"/>
          <w:szCs w:val="24"/>
          <w:highlight w:val="none"/>
          <w:lang w:val="en-US" w:eastAsia="zh-CN"/>
        </w:rPr>
        <w:t>承包</w:t>
      </w:r>
      <w:r>
        <w:rPr>
          <w:rFonts w:hint="eastAsia" w:ascii="宋体" w:hAnsi="宋体" w:eastAsia="宋体" w:cs="宋体"/>
          <w:color w:val="auto"/>
          <w:sz w:val="24"/>
          <w:szCs w:val="24"/>
          <w:highlight w:val="none"/>
          <w:lang w:eastAsia="zh-CN"/>
        </w:rPr>
        <w:t>商</w:t>
      </w:r>
      <w:r>
        <w:rPr>
          <w:rFonts w:hint="eastAsia" w:ascii="宋体" w:hAnsi="宋体" w:eastAsia="宋体" w:cs="宋体"/>
          <w:color w:val="auto"/>
          <w:sz w:val="24"/>
          <w:szCs w:val="24"/>
          <w:highlight w:val="none"/>
        </w:rPr>
        <w:t>。</w:t>
      </w:r>
    </w:p>
    <w:p w14:paraId="4CFEDBBA">
      <w:pPr>
        <w:keepLines w:val="0"/>
        <w:pageBreakBefore w:val="0"/>
        <w:kinsoku/>
        <w:wordWrap/>
        <w:overflowPunct/>
        <w:topLinePunct w:val="0"/>
        <w:bidi w:val="0"/>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现场条件：</w:t>
      </w:r>
    </w:p>
    <w:p w14:paraId="00013058">
      <w:pPr>
        <w:keepLines w:val="0"/>
        <w:pageBreakBefore w:val="0"/>
        <w:kinsoku/>
        <w:wordWrap/>
        <w:overflowPunct/>
        <w:topLinePunct w:val="0"/>
        <w:bidi w:val="0"/>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2.1施工现场平整情况：现有原状                  </w:t>
      </w:r>
    </w:p>
    <w:p w14:paraId="1DA2D760">
      <w:pPr>
        <w:keepLines w:val="0"/>
        <w:pageBreakBefore w:val="0"/>
        <w:kinsoku/>
        <w:wordWrap/>
        <w:overflowPunct/>
        <w:topLinePunct w:val="0"/>
        <w:bidi w:val="0"/>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2.2场内外道路：已到位                        </w:t>
      </w:r>
    </w:p>
    <w:p w14:paraId="04B280C1">
      <w:pPr>
        <w:keepLines w:val="0"/>
        <w:pageBreakBefore w:val="0"/>
        <w:kinsoku/>
        <w:wordWrap/>
        <w:overflowPunct/>
        <w:topLinePunct w:val="0"/>
        <w:bidi w:val="0"/>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2.3施工用电：已到位</w:t>
      </w:r>
      <w:r>
        <w:rPr>
          <w:rFonts w:hint="eastAsia" w:ascii="宋体" w:hAnsi="宋体" w:eastAsia="宋体" w:cs="宋体"/>
          <w:color w:val="auto"/>
          <w:sz w:val="24"/>
          <w:szCs w:val="24"/>
          <w:highlight w:val="none"/>
          <w:lang w:eastAsia="zh-CN"/>
        </w:rPr>
        <w:t>，费用由承包商承担，考虑在报价中。</w:t>
      </w:r>
      <w:r>
        <w:rPr>
          <w:rFonts w:hint="eastAsia" w:ascii="宋体" w:hAnsi="宋体" w:eastAsia="宋体" w:cs="宋体"/>
          <w:color w:val="auto"/>
          <w:sz w:val="24"/>
          <w:szCs w:val="24"/>
          <w:highlight w:val="none"/>
        </w:rPr>
        <w:t xml:space="preserve"> 　　                 </w:t>
      </w:r>
    </w:p>
    <w:p w14:paraId="3809203E">
      <w:pPr>
        <w:keepLines w:val="0"/>
        <w:pageBreakBefore w:val="0"/>
        <w:kinsoku/>
        <w:wordWrap/>
        <w:overflowPunct/>
        <w:topLinePunct w:val="0"/>
        <w:bidi w:val="0"/>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发包范围：</w:t>
      </w:r>
      <w:r>
        <w:rPr>
          <w:rFonts w:hint="eastAsia" w:ascii="宋体" w:hAnsi="宋体" w:eastAsia="宋体" w:cs="宋体"/>
          <w:color w:val="auto"/>
          <w:sz w:val="24"/>
          <w:szCs w:val="24"/>
          <w:highlight w:val="none"/>
          <w:lang w:eastAsia="zh-CN"/>
        </w:rPr>
        <w:t>恒通佳苑消防改造项目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具体以图纸、工程量清单说明为准。         </w:t>
      </w:r>
    </w:p>
    <w:p w14:paraId="1611D08D">
      <w:pPr>
        <w:keepLines w:val="0"/>
        <w:pageBreakBefore w:val="0"/>
        <w:kinsoku/>
        <w:wordWrap/>
        <w:overflowPunct/>
        <w:topLinePunct w:val="0"/>
        <w:bidi w:val="0"/>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工期要求：</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日历天（具体开工日期以采购人通知为准）。</w:t>
      </w:r>
    </w:p>
    <w:p w14:paraId="5221D9ED">
      <w:pPr>
        <w:keepLines w:val="0"/>
        <w:pageBreakBefore w:val="0"/>
        <w:kinsoku/>
        <w:wordWrap/>
        <w:overflowPunct/>
        <w:topLinePunct w:val="0"/>
        <w:bidi w:val="0"/>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质量要求：合格                </w:t>
      </w:r>
    </w:p>
    <w:p w14:paraId="3D133DD3">
      <w:pPr>
        <w:keepLines w:val="0"/>
        <w:pageBreakBefore w:val="0"/>
        <w:kinsoku/>
        <w:wordWrap/>
        <w:overflowPunct/>
        <w:topLinePunct w:val="0"/>
        <w:bidi w:val="0"/>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磋商费用：磋商供应商承担其编制及递交响应文件的一切费用，无论结果如何，</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人对上述费用不负任何责任。</w:t>
      </w:r>
    </w:p>
    <w:p w14:paraId="3C109E22">
      <w:pPr>
        <w:pStyle w:val="793"/>
        <w:keepNext w:val="0"/>
        <w:keepLines w:val="0"/>
        <w:pageBreakBefore w:val="0"/>
        <w:widowControl w:val="0"/>
        <w:kinsoku/>
        <w:wordWrap/>
        <w:overflowPunct/>
        <w:topLinePunct w:val="0"/>
        <w:bidi w:val="0"/>
        <w:spacing w:line="360" w:lineRule="auto"/>
        <w:ind w:left="0" w:firstLine="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四、施工要求</w:t>
      </w:r>
    </w:p>
    <w:p w14:paraId="3C084902">
      <w:pPr>
        <w:keepNext w:val="0"/>
        <w:keepLines w:val="0"/>
        <w:pageBreakBefore w:val="0"/>
        <w:widowControl w:val="0"/>
        <w:kinsoku/>
        <w:wordWrap/>
        <w:overflowPunct/>
        <w:topLinePunct w:val="0"/>
        <w:bidi w:val="0"/>
        <w:spacing w:line="360" w:lineRule="auto"/>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b w:val="0"/>
          <w:bCs w:val="0"/>
          <w:color w:val="auto"/>
          <w:sz w:val="24"/>
          <w:szCs w:val="24"/>
          <w:highlight w:val="none"/>
          <w:lang w:val="en-US" w:eastAsia="zh-CN"/>
        </w:rPr>
        <w:t>人员配置要求</w:t>
      </w:r>
      <w:r>
        <w:rPr>
          <w:rFonts w:hint="eastAsia" w:ascii="宋体" w:hAnsi="宋体" w:eastAsia="宋体" w:cs="宋体"/>
          <w:color w:val="auto"/>
          <w:sz w:val="24"/>
          <w:szCs w:val="24"/>
          <w:highlight w:val="none"/>
          <w:lang w:val="en-US" w:eastAsia="zh-CN" w:bidi="ar-SA"/>
        </w:rPr>
        <w:t>：响应单位须为本项目配备项目经理、技术负责人、施工人员、安全管理人员等。</w:t>
      </w:r>
    </w:p>
    <w:p w14:paraId="496C7C9E">
      <w:pPr>
        <w:pStyle w:val="24"/>
        <w:keepNext w:val="0"/>
        <w:keepLines w:val="0"/>
        <w:pageBreakBefore w:val="0"/>
        <w:numPr>
          <w:ilvl w:val="0"/>
          <w:numId w:val="0"/>
        </w:numPr>
        <w:kinsoku/>
        <w:wordWrap/>
        <w:overflowPunct/>
        <w:topLinePunct w:val="0"/>
        <w:bidi w:val="0"/>
        <w:spacing w:line="360" w:lineRule="auto"/>
        <w:ind w:firstLine="4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（1）项目经理：1人，须具有</w:t>
      </w:r>
      <w:r>
        <w:rPr>
          <w:rFonts w:hint="eastAsia" w:ascii="宋体" w:hAnsi="宋体" w:eastAsia="宋体" w:cs="宋体"/>
          <w:b w:val="0"/>
          <w:bCs w:val="0"/>
          <w:color w:val="auto"/>
          <w:sz w:val="24"/>
          <w:szCs w:val="24"/>
          <w:highlight w:val="none"/>
          <w:lang w:val="en-US" w:eastAsia="zh-CN"/>
        </w:rPr>
        <w:t>机电工程专业注册建造师二级（含）以上执业资格和《建筑施工企业项目负责人安全生产考核合格证书》（B类）</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项目经理</w:t>
      </w:r>
      <w:r>
        <w:rPr>
          <w:rFonts w:hint="eastAsia" w:ascii="宋体" w:hAnsi="宋体" w:eastAsia="宋体" w:cs="宋体"/>
          <w:b w:val="0"/>
          <w:bCs w:val="0"/>
          <w:color w:val="auto"/>
          <w:sz w:val="24"/>
          <w:szCs w:val="24"/>
          <w:highlight w:val="none"/>
          <w:lang w:val="en-US" w:eastAsia="zh-CN"/>
        </w:rPr>
        <w:t>负责与采购方、第三方管理单位沟通本项目的具体实施事宜，负责本项目的整体管理及项目质量控制、进度控制、成本控制和安全控制工作，</w:t>
      </w:r>
      <w:r>
        <w:rPr>
          <w:rFonts w:hint="eastAsia" w:ascii="宋体" w:hAnsi="宋体" w:eastAsia="宋体" w:cs="宋体"/>
          <w:b w:val="0"/>
          <w:bCs w:val="0"/>
          <w:color w:val="auto"/>
          <w:sz w:val="24"/>
          <w:szCs w:val="24"/>
          <w:highlight w:val="none"/>
          <w:u w:val="none"/>
          <w:lang w:val="en-US" w:eastAsia="zh-CN"/>
        </w:rPr>
        <w:t>应具备较强的专业知识，熟悉本项目相关的法规、规范及标准。</w:t>
      </w:r>
    </w:p>
    <w:p w14:paraId="66FC9801">
      <w:pPr>
        <w:pStyle w:val="24"/>
        <w:keepNext w:val="0"/>
        <w:keepLines w:val="0"/>
        <w:pageBreakBefore w:val="0"/>
        <w:numPr>
          <w:ilvl w:val="0"/>
          <w:numId w:val="0"/>
        </w:numPr>
        <w:kinsoku/>
        <w:wordWrap/>
        <w:overflowPunct/>
        <w:topLinePunct w:val="0"/>
        <w:bidi w:val="0"/>
        <w:spacing w:line="360" w:lineRule="auto"/>
        <w:ind w:firstLine="4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项目经理必须满足下列条件：</w:t>
      </w:r>
    </w:p>
    <w:p w14:paraId="03D5342C">
      <w:pPr>
        <w:pStyle w:val="24"/>
        <w:keepNext w:val="0"/>
        <w:keepLines w:val="0"/>
        <w:pageBreakBefore w:val="0"/>
        <w:numPr>
          <w:ilvl w:val="0"/>
          <w:numId w:val="0"/>
        </w:numPr>
        <w:kinsoku/>
        <w:wordWrap/>
        <w:overflowPunct/>
        <w:topLinePunct w:val="0"/>
        <w:bidi w:val="0"/>
        <w:spacing w:line="360" w:lineRule="auto"/>
        <w:ind w:firstLine="4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项目经理</w:t>
      </w:r>
      <w:r>
        <w:rPr>
          <w:rFonts w:hint="eastAsia" w:ascii="宋体" w:hAnsi="宋体" w:eastAsia="宋体" w:cs="宋体"/>
          <w:b w:val="0"/>
          <w:bCs w:val="0"/>
          <w:color w:val="auto"/>
          <w:sz w:val="24"/>
          <w:szCs w:val="24"/>
          <w:highlight w:val="none"/>
        </w:rPr>
        <w:t>不得同时在两个或者两个以上单位受聘或者执业。</w:t>
      </w:r>
    </w:p>
    <w:p w14:paraId="3AA40B71">
      <w:pPr>
        <w:pStyle w:val="24"/>
        <w:keepNext w:val="0"/>
        <w:keepLines w:val="0"/>
        <w:pageBreakBefore w:val="0"/>
        <w:numPr>
          <w:ilvl w:val="0"/>
          <w:numId w:val="0"/>
        </w:numPr>
        <w:kinsoku/>
        <w:wordWrap/>
        <w:overflowPunct/>
        <w:topLinePunct w:val="0"/>
        <w:bidi w:val="0"/>
        <w:spacing w:line="360" w:lineRule="auto"/>
        <w:ind w:firstLine="4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项目经理是非变更后无在建工程，或项目经理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经理执业范围之内。</w:t>
      </w:r>
    </w:p>
    <w:p w14:paraId="7F5CF8A5">
      <w:pPr>
        <w:pStyle w:val="793"/>
        <w:keepNext w:val="0"/>
        <w:keepLines w:val="0"/>
        <w:pageBreakBefore w:val="0"/>
        <w:widowControl w:val="0"/>
        <w:kinsoku/>
        <w:wordWrap/>
        <w:overflowPunct/>
        <w:topLinePunct w:val="0"/>
        <w:bidi w:val="0"/>
        <w:spacing w:line="360" w:lineRule="auto"/>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bidi="ar-SA"/>
        </w:rPr>
        <w:t>技术负责人：</w:t>
      </w:r>
      <w:r>
        <w:rPr>
          <w:rFonts w:hint="eastAsia" w:ascii="宋体" w:hAnsi="宋体" w:eastAsia="宋体" w:cs="宋体"/>
          <w:b w:val="0"/>
          <w:bCs w:val="0"/>
          <w:color w:val="auto"/>
          <w:sz w:val="24"/>
          <w:szCs w:val="24"/>
          <w:highlight w:val="none"/>
          <w:lang w:val="en-US" w:eastAsia="zh-CN"/>
        </w:rPr>
        <w:t>1人，</w:t>
      </w:r>
      <w:r>
        <w:rPr>
          <w:rFonts w:hint="eastAsia" w:ascii="宋体" w:hAnsi="宋体" w:eastAsia="宋体" w:cs="宋体"/>
          <w:color w:val="auto"/>
          <w:sz w:val="24"/>
          <w:szCs w:val="24"/>
          <w:highlight w:val="none"/>
          <w:lang w:val="en-US" w:eastAsia="zh-CN" w:bidi="ar-SA"/>
        </w:rPr>
        <w:t>协助项目经理进行工程项目的技术、质量管理，全面负责本项目的技术、质量、科研、方案和资料等管理工作，</w:t>
      </w:r>
      <w:r>
        <w:rPr>
          <w:rFonts w:hint="eastAsia" w:ascii="宋体" w:hAnsi="宋体" w:eastAsia="宋体" w:cs="宋体"/>
          <w:b w:val="0"/>
          <w:bCs w:val="0"/>
          <w:color w:val="auto"/>
          <w:sz w:val="24"/>
          <w:szCs w:val="24"/>
          <w:highlight w:val="none"/>
          <w:lang w:val="en-US" w:eastAsia="zh-CN"/>
        </w:rPr>
        <w:t>应具备较强的专业知识，熟悉本项目相关的法规、规范及标准。</w:t>
      </w:r>
    </w:p>
    <w:p w14:paraId="62AA9638">
      <w:pPr>
        <w:keepLines w:val="0"/>
        <w:pageBreakBefore w:val="0"/>
        <w:tabs>
          <w:tab w:val="left" w:pos="567"/>
        </w:tabs>
        <w:kinsoku/>
        <w:wordWrap/>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bidi="ar-SA"/>
        </w:rPr>
        <w:t>施工人员、安全管理人员</w:t>
      </w:r>
      <w:r>
        <w:rPr>
          <w:rFonts w:hint="eastAsia" w:ascii="宋体" w:hAnsi="宋体" w:eastAsia="宋体" w:cs="宋体"/>
          <w:color w:val="auto"/>
          <w:sz w:val="24"/>
          <w:szCs w:val="24"/>
          <w:highlight w:val="none"/>
          <w:lang w:val="en-US" w:eastAsia="zh-CN"/>
        </w:rPr>
        <w:t>根据实际需要配备。应有相关工作经验，能熟练操作设备，有一定的文化水平，并经过相关培训。登高作业等特殊工种人员须持证上岗。</w:t>
      </w:r>
    </w:p>
    <w:p w14:paraId="29805BA7">
      <w:pPr>
        <w:keepNext w:val="0"/>
        <w:keepLines w:val="0"/>
        <w:pageBreakBefore w:val="0"/>
        <w:widowControl w:val="0"/>
        <w:kinsoku/>
        <w:wordWrap/>
        <w:overflowPunct/>
        <w:topLinePunct w:val="0"/>
        <w:bidi w:val="0"/>
        <w:spacing w:line="360" w:lineRule="auto"/>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2、项目实施过程中，采购方将委托第三方现场管理机构进行全过程管理服务，</w:t>
      </w:r>
      <w:r>
        <w:rPr>
          <w:rFonts w:hint="eastAsia" w:ascii="宋体" w:hAnsi="宋体" w:eastAsia="宋体" w:cs="宋体"/>
          <w:color w:val="auto"/>
          <w:sz w:val="24"/>
          <w:szCs w:val="24"/>
          <w:highlight w:val="none"/>
          <w:lang w:val="en-US" w:eastAsia="zh-CN"/>
        </w:rPr>
        <w:t>承包方</w:t>
      </w:r>
      <w:r>
        <w:rPr>
          <w:rFonts w:hint="eastAsia" w:ascii="宋体" w:hAnsi="宋体" w:eastAsia="宋体" w:cs="宋体"/>
          <w:color w:val="auto"/>
          <w:sz w:val="24"/>
          <w:szCs w:val="24"/>
          <w:highlight w:val="none"/>
          <w:lang w:val="en-US" w:eastAsia="zh-CN" w:bidi="ar-SA"/>
        </w:rPr>
        <w:t>应服从采购方及第三方现场管理机构的管理，本项目所涉及的材料、设备均需通过第三方现场管理机构确认后再施工安装。</w:t>
      </w:r>
    </w:p>
    <w:p w14:paraId="67399F72">
      <w:pPr>
        <w:keepNext w:val="0"/>
        <w:keepLines w:val="0"/>
        <w:pageBreakBefore w:val="0"/>
        <w:widowControl w:val="0"/>
        <w:kinsoku/>
        <w:wordWrap/>
        <w:overflowPunct/>
        <w:topLinePunct w:val="0"/>
        <w:bidi w:val="0"/>
        <w:spacing w:line="360" w:lineRule="auto"/>
        <w:ind w:firstLine="48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3、拆除的设备、材料涉及固定资产的，由采购人与</w:t>
      </w:r>
      <w:r>
        <w:rPr>
          <w:rFonts w:hint="eastAsia" w:ascii="宋体" w:hAnsi="宋体" w:eastAsia="宋体" w:cs="宋体"/>
          <w:color w:val="auto"/>
          <w:sz w:val="24"/>
          <w:szCs w:val="24"/>
          <w:highlight w:val="none"/>
          <w:lang w:val="en-US" w:eastAsia="zh-CN"/>
        </w:rPr>
        <w:t>承包方</w:t>
      </w:r>
      <w:r>
        <w:rPr>
          <w:rFonts w:hint="eastAsia" w:ascii="宋体" w:hAnsi="宋体" w:eastAsia="宋体" w:cs="宋体"/>
          <w:b w:val="0"/>
          <w:bCs w:val="0"/>
          <w:color w:val="auto"/>
          <w:sz w:val="24"/>
          <w:szCs w:val="24"/>
          <w:highlight w:val="none"/>
          <w:lang w:val="en-US" w:eastAsia="zh-CN" w:bidi="ar-SA"/>
        </w:rPr>
        <w:t>协调处理；其他的由</w:t>
      </w:r>
      <w:r>
        <w:rPr>
          <w:rFonts w:hint="eastAsia" w:ascii="宋体" w:hAnsi="宋体" w:eastAsia="宋体" w:cs="宋体"/>
          <w:color w:val="auto"/>
          <w:sz w:val="24"/>
          <w:szCs w:val="24"/>
          <w:highlight w:val="none"/>
          <w:lang w:val="en-US" w:eastAsia="zh-CN"/>
        </w:rPr>
        <w:t>承包方</w:t>
      </w:r>
      <w:r>
        <w:rPr>
          <w:rFonts w:hint="eastAsia" w:ascii="宋体" w:hAnsi="宋体" w:eastAsia="宋体" w:cs="宋体"/>
          <w:b w:val="0"/>
          <w:bCs w:val="0"/>
          <w:color w:val="auto"/>
          <w:sz w:val="24"/>
          <w:szCs w:val="24"/>
          <w:highlight w:val="none"/>
          <w:lang w:val="en-US" w:eastAsia="zh-CN" w:bidi="ar-SA"/>
        </w:rPr>
        <w:t>负责清运处理，清运处理费用包含在合同价中。</w:t>
      </w:r>
    </w:p>
    <w:p w14:paraId="7E2489A2">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4、承包方需要确保所有消防设施更新安装后该小区整体消防联动系统可以正常运行，并配合消防管理单位将相关消防设施接入小区智慧消防平台。</w:t>
      </w:r>
    </w:p>
    <w:p w14:paraId="44EB5FE4">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b w:val="0"/>
          <w:bCs w:val="0"/>
          <w:color w:val="auto"/>
          <w:sz w:val="24"/>
          <w:szCs w:val="24"/>
          <w:highlight w:val="none"/>
          <w:lang w:val="en-US" w:eastAsia="zh-CN"/>
        </w:rPr>
        <w:t>项目实施期间</w:t>
      </w:r>
      <w:r>
        <w:rPr>
          <w:rFonts w:hint="eastAsia" w:ascii="宋体" w:hAnsi="宋体" w:eastAsia="宋体" w:cs="宋体"/>
          <w:color w:val="auto"/>
          <w:sz w:val="24"/>
          <w:szCs w:val="24"/>
          <w:highlight w:val="none"/>
          <w:lang w:val="en-US" w:eastAsia="zh-CN"/>
        </w:rPr>
        <w:t>承包方</w:t>
      </w:r>
      <w:r>
        <w:rPr>
          <w:rFonts w:hint="eastAsia" w:ascii="宋体" w:hAnsi="宋体" w:eastAsia="宋体" w:cs="宋体"/>
          <w:b w:val="0"/>
          <w:bCs w:val="0"/>
          <w:color w:val="auto"/>
          <w:sz w:val="24"/>
          <w:szCs w:val="24"/>
          <w:highlight w:val="none"/>
          <w:lang w:val="en-US" w:eastAsia="zh-CN"/>
        </w:rPr>
        <w:t>应在保证安全的情况下尽量不影响小区交通，作业区间必须设置明显的安全标志，警示灯等，采取措施、保证安全并减少对小区交通的干扰。项目实施完成后及时清理垃圾，保证场地清洁不影响出行。</w:t>
      </w:r>
    </w:p>
    <w:p w14:paraId="405C22FF">
      <w:pPr>
        <w:pStyle w:val="793"/>
        <w:keepNext w:val="0"/>
        <w:keepLines w:val="0"/>
        <w:pageBreakBefore w:val="0"/>
        <w:widowControl w:val="0"/>
        <w:kinsoku/>
        <w:wordWrap/>
        <w:overflowPunct/>
        <w:topLinePunct w:val="0"/>
        <w:bidi w:val="0"/>
        <w:spacing w:line="360" w:lineRule="auto"/>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项目实施所需所用水电由</w:t>
      </w:r>
      <w:r>
        <w:rPr>
          <w:rFonts w:hint="eastAsia" w:ascii="宋体" w:hAnsi="宋体" w:eastAsia="宋体" w:cs="宋体"/>
          <w:color w:val="auto"/>
          <w:sz w:val="24"/>
          <w:szCs w:val="24"/>
          <w:highlight w:val="none"/>
          <w:lang w:val="en-US" w:eastAsia="zh-CN"/>
        </w:rPr>
        <w:t>承包方</w:t>
      </w:r>
      <w:r>
        <w:rPr>
          <w:rFonts w:hint="eastAsia" w:ascii="宋体" w:hAnsi="宋体" w:eastAsia="宋体" w:cs="宋体"/>
          <w:b w:val="0"/>
          <w:bCs w:val="0"/>
          <w:color w:val="auto"/>
          <w:sz w:val="24"/>
          <w:szCs w:val="24"/>
          <w:highlight w:val="none"/>
          <w:lang w:val="en-US" w:eastAsia="zh-CN"/>
        </w:rPr>
        <w:t>负责，</w:t>
      </w:r>
      <w:r>
        <w:rPr>
          <w:rFonts w:hint="eastAsia" w:ascii="宋体" w:hAnsi="宋体" w:eastAsia="宋体" w:cs="宋体"/>
          <w:b w:val="0"/>
          <w:bCs w:val="0"/>
          <w:color w:val="auto"/>
          <w:sz w:val="24"/>
          <w:szCs w:val="24"/>
          <w:highlight w:val="none"/>
          <w:lang w:val="en-US" w:eastAsia="zh-CN"/>
        </w:rPr>
        <w:t>均含在项目成本费用中，响应单位自行考虑。</w:t>
      </w:r>
    </w:p>
    <w:p w14:paraId="08A7C2C0">
      <w:pPr>
        <w:keepNext w:val="0"/>
        <w:keepLines w:val="0"/>
        <w:pageBreakBefore w:val="0"/>
        <w:widowControl w:val="0"/>
        <w:kinsoku/>
        <w:wordWrap/>
        <w:overflowPunct/>
        <w:topLinePunct w:val="0"/>
        <w:bidi w:val="0"/>
        <w:spacing w:line="360" w:lineRule="auto"/>
        <w:ind w:firstLine="48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7、质量必须达到合格，应符合现行国家相关技术及验收规范规程，如对施工工艺的特殊要求按设计图纸（如有）及国家有关规定执行。凡因</w:t>
      </w:r>
      <w:r>
        <w:rPr>
          <w:rFonts w:hint="eastAsia" w:ascii="宋体" w:hAnsi="宋体" w:eastAsia="宋体" w:cs="宋体"/>
          <w:color w:val="auto"/>
          <w:sz w:val="24"/>
          <w:szCs w:val="24"/>
          <w:highlight w:val="none"/>
          <w:lang w:val="en-US" w:eastAsia="zh-CN"/>
        </w:rPr>
        <w:t>承包方</w:t>
      </w:r>
      <w:r>
        <w:rPr>
          <w:rFonts w:hint="eastAsia" w:ascii="宋体" w:hAnsi="宋体" w:eastAsia="宋体" w:cs="宋体"/>
          <w:b w:val="0"/>
          <w:bCs w:val="0"/>
          <w:color w:val="auto"/>
          <w:sz w:val="24"/>
          <w:szCs w:val="24"/>
          <w:highlight w:val="none"/>
          <w:lang w:val="en-US" w:eastAsia="zh-CN" w:bidi="ar-SA"/>
        </w:rPr>
        <w:t>责任，经验收达不到合格要求，必须返工至合格并承担因返工引起的一切经济损失。</w:t>
      </w:r>
    </w:p>
    <w:p w14:paraId="6E4070A7">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8、安全要求：</w:t>
      </w:r>
      <w:r>
        <w:rPr>
          <w:rFonts w:hint="eastAsia" w:ascii="宋体" w:hAnsi="宋体" w:eastAsia="宋体" w:cs="宋体"/>
          <w:color w:val="auto"/>
          <w:sz w:val="24"/>
          <w:szCs w:val="24"/>
          <w:highlight w:val="none"/>
          <w:lang w:val="en-US" w:eastAsia="zh-CN"/>
        </w:rPr>
        <w:t>承包方</w:t>
      </w:r>
      <w:r>
        <w:rPr>
          <w:rFonts w:hint="eastAsia" w:ascii="宋体" w:hAnsi="宋体" w:eastAsia="宋体" w:cs="宋体"/>
          <w:b w:val="0"/>
          <w:bCs w:val="0"/>
          <w:color w:val="auto"/>
          <w:sz w:val="24"/>
          <w:szCs w:val="24"/>
          <w:highlight w:val="none"/>
          <w:lang w:val="en-US" w:eastAsia="zh-CN" w:bidi="ar-SA"/>
        </w:rPr>
        <w:t>在项目实施期间应制定项目安全实施管理措施，并严格遵守安全管理要求，</w:t>
      </w:r>
      <w:r>
        <w:rPr>
          <w:rFonts w:hint="eastAsia" w:ascii="宋体" w:hAnsi="宋体" w:eastAsia="宋体" w:cs="宋体"/>
          <w:color w:val="auto"/>
          <w:sz w:val="24"/>
          <w:szCs w:val="24"/>
          <w:highlight w:val="none"/>
          <w:lang w:val="en-US" w:eastAsia="zh-CN"/>
        </w:rPr>
        <w:t>承包方</w:t>
      </w:r>
      <w:r>
        <w:rPr>
          <w:rFonts w:hint="eastAsia" w:ascii="宋体" w:hAnsi="宋体" w:eastAsia="宋体" w:cs="宋体"/>
          <w:b w:val="0"/>
          <w:bCs w:val="0"/>
          <w:color w:val="auto"/>
          <w:sz w:val="24"/>
          <w:szCs w:val="24"/>
          <w:highlight w:val="none"/>
          <w:lang w:val="en-US" w:eastAsia="zh-CN" w:bidi="ar-SA"/>
        </w:rPr>
        <w:t>在项目实施过程中因管理不当、维护措施不当等因素或不按安全管理要求，造成人员安全或财产损失事故的，其责任均由</w:t>
      </w:r>
      <w:r>
        <w:rPr>
          <w:rFonts w:hint="eastAsia" w:ascii="宋体" w:hAnsi="宋体" w:eastAsia="宋体" w:cs="宋体"/>
          <w:color w:val="auto"/>
          <w:sz w:val="24"/>
          <w:szCs w:val="24"/>
          <w:highlight w:val="none"/>
          <w:lang w:val="en-US" w:eastAsia="zh-CN"/>
        </w:rPr>
        <w:t>承包方</w:t>
      </w:r>
      <w:r>
        <w:rPr>
          <w:rFonts w:hint="eastAsia" w:ascii="宋体" w:hAnsi="宋体" w:eastAsia="宋体" w:cs="宋体"/>
          <w:b w:val="0"/>
          <w:bCs w:val="0"/>
          <w:color w:val="auto"/>
          <w:sz w:val="24"/>
          <w:szCs w:val="24"/>
          <w:highlight w:val="none"/>
          <w:lang w:val="en-US" w:eastAsia="zh-CN" w:bidi="ar-SA"/>
        </w:rPr>
        <w:t>自行承担，采购人不承担责任。</w:t>
      </w:r>
    </w:p>
    <w:p w14:paraId="6B0DE1C4">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9、工程未交付之前，</w:t>
      </w:r>
      <w:r>
        <w:rPr>
          <w:rFonts w:hint="eastAsia" w:ascii="宋体" w:hAnsi="宋体" w:eastAsia="宋体" w:cs="宋体"/>
          <w:color w:val="auto"/>
          <w:sz w:val="24"/>
          <w:szCs w:val="24"/>
          <w:highlight w:val="none"/>
          <w:lang w:val="en-US" w:eastAsia="zh-CN"/>
        </w:rPr>
        <w:t>承包方</w:t>
      </w:r>
      <w:r>
        <w:rPr>
          <w:rFonts w:hint="eastAsia" w:ascii="宋体" w:hAnsi="宋体" w:eastAsia="宋体" w:cs="宋体"/>
          <w:b w:val="0"/>
          <w:bCs w:val="0"/>
          <w:color w:val="auto"/>
          <w:sz w:val="24"/>
          <w:szCs w:val="24"/>
          <w:highlight w:val="none"/>
          <w:lang w:val="en-US" w:eastAsia="zh-CN" w:bidi="ar-SA"/>
        </w:rPr>
        <w:t>应自始至终对成品进行保护和防止丢失。</w:t>
      </w:r>
    </w:p>
    <w:p w14:paraId="5EF92B2B">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10、</w:t>
      </w:r>
      <w:r>
        <w:rPr>
          <w:rFonts w:hint="eastAsia" w:ascii="宋体" w:hAnsi="宋体" w:eastAsia="宋体" w:cs="宋体"/>
          <w:color w:val="auto"/>
          <w:sz w:val="24"/>
          <w:szCs w:val="24"/>
          <w:highlight w:val="none"/>
          <w:lang w:val="en-US" w:eastAsia="zh-CN"/>
        </w:rPr>
        <w:t>承包方按采购人要求</w:t>
      </w:r>
      <w:r>
        <w:rPr>
          <w:rFonts w:hint="eastAsia" w:ascii="宋体" w:hAnsi="宋体" w:eastAsia="宋体" w:cs="宋体"/>
          <w:b w:val="0"/>
          <w:bCs w:val="0"/>
          <w:color w:val="auto"/>
          <w:sz w:val="24"/>
          <w:szCs w:val="24"/>
          <w:highlight w:val="none"/>
          <w:lang w:val="en-US" w:eastAsia="zh-CN" w:bidi="ar-SA"/>
        </w:rPr>
        <w:t>提供竣工图。</w:t>
      </w:r>
    </w:p>
    <w:p w14:paraId="160927B8">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11</w:t>
      </w:r>
      <w:r>
        <w:rPr>
          <w:rFonts w:hint="eastAsia" w:ascii="宋体" w:hAnsi="宋体" w:eastAsia="宋体" w:cs="宋体"/>
          <w:color w:val="auto"/>
          <w:sz w:val="24"/>
          <w:szCs w:val="24"/>
          <w:highlight w:val="none"/>
          <w:lang w:val="en-US" w:eastAsia="zh-CN"/>
        </w:rPr>
        <w:t xml:space="preserve">为强化消防安全管理，保障人员生命及财产安全，确保甲方能够直观了解消防设施功能与灭火效果，乙方应在本合同约定场地内免费规划并设置符合规范要求的消防演示区域，具体要求如下： </w:t>
      </w:r>
    </w:p>
    <w:p w14:paraId="261F0EAE">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设施配置要求：消防演示区域需配备完整的消防演示设备，核心设备应至少包含水雾喷头、联动报警器，同时可根据实际演示需求，补充配置消防水带、灭火器（如干粉灭火器、二氧化碳灭火器等）、火灾报警控制器等其他辅助设备，所有设备需符合国家现行《消防设施通用规范》（GB 55036-2022）及相关行业标准，确保设备性能完好、运行正常，具备真实演示灭火及报警功能的条件。 </w:t>
      </w:r>
    </w:p>
    <w:p w14:paraId="79A5959C">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11.2区域选址与覆盖要求：消防演示区域需分两处设置，具体位置及覆盖范围需满足以下标准： </w:t>
      </w:r>
    </w:p>
    <w:p w14:paraId="055F4935">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11.2.1地上区域：设置于一个地面上独立的电动自行车车棚，选择车棚应远离居民楼，避免演示过程中对电动自行车、人员造成安全影响； </w:t>
      </w:r>
    </w:p>
    <w:p w14:paraId="0A28AD2A">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11.2.2地下区域：设置于地下新能源车停车区域内，且演示设备的保护范围需至少完整覆盖3个标准新能源车停车位，确保能模拟新能源车停放场景下的消防演示需求。</w:t>
      </w:r>
    </w:p>
    <w:p w14:paraId="54C49BE7">
      <w:pPr>
        <w:spacing w:line="360" w:lineRule="auto"/>
        <w:ind w:firstLine="480" w:firstLineChars="200"/>
        <w:jc w:val="left"/>
        <w:rPr>
          <w:rFonts w:hint="eastAsia" w:ascii="宋体" w:hAnsi="宋体" w:eastAsia="宋体" w:cs="宋体"/>
          <w:color w:val="auto"/>
          <w:sz w:val="24"/>
          <w:szCs w:val="24"/>
          <w:highlight w:val="none"/>
          <w:lang w:val="en-US" w:eastAsia="zh-CN"/>
        </w:rPr>
      </w:pPr>
    </w:p>
    <w:p w14:paraId="5E0B1666">
      <w:pPr>
        <w:pStyle w:val="793"/>
        <w:keepNext w:val="0"/>
        <w:keepLines w:val="0"/>
        <w:pageBreakBefore w:val="0"/>
        <w:widowControl w:val="0"/>
        <w:kinsoku/>
        <w:wordWrap/>
        <w:overflowPunct/>
        <w:topLinePunct w:val="0"/>
        <w:bidi w:val="0"/>
        <w:spacing w:line="360" w:lineRule="auto"/>
        <w:ind w:left="0" w:firstLine="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五、报价要求</w:t>
      </w:r>
    </w:p>
    <w:p w14:paraId="2E7587D1">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1、响应报价应根据采购文件中的有关计价要求，并按照下列依据自主报价，但不得低于成本。</w:t>
      </w:r>
    </w:p>
    <w:p w14:paraId="63E9FA44">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（1）本磋商采购文件；</w:t>
      </w:r>
    </w:p>
    <w:p w14:paraId="53D2F825">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（2）《建设工程工程量清单计价规范》 （GB50500-2013） 及其计算规范；</w:t>
      </w:r>
    </w:p>
    <w:p w14:paraId="09B3D63C">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（3）国家或省级、行业建设主管部门颁发的计价办法；</w:t>
      </w:r>
    </w:p>
    <w:p w14:paraId="479793CF">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（4）企业定额，国家或省级、行业建设主管部门颁发的计价定额；</w:t>
      </w:r>
    </w:p>
    <w:p w14:paraId="5FBA306A">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（5）采购工程量清单及其补充通知、答疑纪要；</w:t>
      </w:r>
    </w:p>
    <w:p w14:paraId="00177995">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（6）建设工程设计文件及相关资料；</w:t>
      </w:r>
    </w:p>
    <w:p w14:paraId="0D01D0F0">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（7）施工现场情况、工程特点及拟定的投标施工组织设计或施工方案；</w:t>
      </w:r>
    </w:p>
    <w:p w14:paraId="5F8987FA">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（8）与建设项目相关的标准、规范等技术资料；</w:t>
      </w:r>
    </w:p>
    <w:p w14:paraId="16400AD8">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（9）市场价格信息或工程造价管理机构发布的工程造价信息；</w:t>
      </w:r>
    </w:p>
    <w:p w14:paraId="190ECEA9">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（10）其他的相关资料。</w:t>
      </w:r>
    </w:p>
    <w:p w14:paraId="0C37A5F6">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2、计价方式：本工程项目采用下列第</w:t>
      </w:r>
      <w:r>
        <w:rPr>
          <w:rFonts w:hint="eastAsia" w:ascii="宋体" w:hAnsi="宋体" w:eastAsia="宋体" w:cs="宋体"/>
          <w:b w:val="0"/>
          <w:bCs w:val="0"/>
          <w:color w:val="auto"/>
          <w:sz w:val="24"/>
          <w:szCs w:val="24"/>
          <w:highlight w:val="none"/>
          <w:u w:val="single"/>
          <w:lang w:val="en-US" w:eastAsia="zh-CN" w:bidi="ar-SA"/>
        </w:rPr>
        <w:t>（1）</w:t>
      </w:r>
      <w:r>
        <w:rPr>
          <w:rFonts w:hint="eastAsia" w:ascii="宋体" w:hAnsi="宋体" w:eastAsia="宋体" w:cs="宋体"/>
          <w:b w:val="0"/>
          <w:bCs w:val="0"/>
          <w:color w:val="auto"/>
          <w:sz w:val="24"/>
          <w:szCs w:val="24"/>
          <w:highlight w:val="none"/>
          <w:lang w:val="en-US" w:eastAsia="zh-CN" w:bidi="ar-SA"/>
        </w:rPr>
        <w:t>种计价方式。</w:t>
      </w:r>
    </w:p>
    <w:p w14:paraId="79456F0D">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（1）工程量清单计价方式</w:t>
      </w:r>
    </w:p>
    <w:p w14:paraId="2D482B2C">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（2）计价表计价方式</w:t>
      </w:r>
    </w:p>
    <w:p w14:paraId="021019B9">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3、报价方式：本工程项目采用下列第</w:t>
      </w:r>
      <w:r>
        <w:rPr>
          <w:rFonts w:hint="eastAsia" w:ascii="宋体" w:hAnsi="宋体" w:eastAsia="宋体" w:cs="宋体"/>
          <w:b w:val="0"/>
          <w:bCs w:val="0"/>
          <w:color w:val="auto"/>
          <w:sz w:val="24"/>
          <w:szCs w:val="24"/>
          <w:highlight w:val="none"/>
          <w:u w:val="single"/>
          <w:lang w:val="en-US" w:eastAsia="zh-CN" w:bidi="ar-SA"/>
        </w:rPr>
        <w:t>（2）</w:t>
      </w:r>
      <w:r>
        <w:rPr>
          <w:rFonts w:hint="eastAsia" w:ascii="宋体" w:hAnsi="宋体" w:eastAsia="宋体" w:cs="宋体"/>
          <w:b w:val="0"/>
          <w:bCs w:val="0"/>
          <w:color w:val="auto"/>
          <w:sz w:val="24"/>
          <w:szCs w:val="24"/>
          <w:highlight w:val="none"/>
          <w:lang w:val="en-US" w:eastAsia="zh-CN" w:bidi="ar-SA"/>
        </w:rPr>
        <w:t>种报价方式。</w:t>
      </w:r>
    </w:p>
    <w:p w14:paraId="0F6D2E6C">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（1）固定总价报价。竞争报价人应充分考虑施工期间各类建材市场价格变化，政策性调整的风险，一旦经评审确定承包人，报价不作调整。</w:t>
      </w:r>
    </w:p>
    <w:p w14:paraId="6820D61D">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（2）固定全费用综合单价报价。磋商供应商应充分考虑施工期间各类建材的市场风险和国家政策性调整风险系数，具体按照国家和苏州市相关文件执行。</w:t>
      </w:r>
    </w:p>
    <w:p w14:paraId="476B4CE6">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4、本工程在采购文件中已明确的各项施工措施费，均包含在合同总价中。其他在采购文件和答疑中未提及、未明确部分的施工措施费项目，采购单位不另外支付。</w:t>
      </w:r>
    </w:p>
    <w:p w14:paraId="1304784E">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5、计价格式中列明的所有需要填报的单价和合价，竞争人均需填报，未填报的单价和合价，视为此项费用已包含在工程量清单的其他单价和合价中。</w:t>
      </w:r>
    </w:p>
    <w:p w14:paraId="12E9E1A0">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6、本项目需要二次报价，二次报价为最终报价，最终合同单价按最终总报价同比例下浮。</w:t>
      </w:r>
    </w:p>
    <w:p w14:paraId="26B6F712">
      <w:pPr>
        <w:pStyle w:val="793"/>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bCs/>
          <w:color w:val="auto"/>
          <w:sz w:val="24"/>
          <w:szCs w:val="24"/>
          <w:highlight w:val="none"/>
          <w:lang w:val="zh-TW" w:eastAsia="zh-CN"/>
        </w:rPr>
      </w:pPr>
      <w:r>
        <w:rPr>
          <w:rFonts w:hint="eastAsia" w:ascii="宋体" w:hAnsi="宋体" w:eastAsia="宋体" w:cs="宋体"/>
          <w:b w:val="0"/>
          <w:bCs w:val="0"/>
          <w:color w:val="auto"/>
          <w:sz w:val="24"/>
          <w:szCs w:val="24"/>
          <w:highlight w:val="none"/>
          <w:lang w:val="en-US" w:eastAsia="zh-CN" w:bidi="ar-SA"/>
        </w:rPr>
        <w:t>7、工程付款方式：</w:t>
      </w:r>
      <w:r>
        <w:rPr>
          <w:rFonts w:hint="eastAsia" w:ascii="宋体" w:hAnsi="宋体" w:eastAsia="宋体" w:cs="宋体"/>
          <w:b/>
          <w:bCs/>
          <w:color w:val="auto"/>
          <w:sz w:val="24"/>
          <w:szCs w:val="24"/>
          <w:highlight w:val="none"/>
          <w:lang w:val="zh-TW" w:eastAsia="zh-CN"/>
        </w:rPr>
        <w:t>项目完成且验收合格后付至合同金额的</w:t>
      </w:r>
      <w:r>
        <w:rPr>
          <w:rFonts w:hint="eastAsia" w:ascii="宋体" w:hAnsi="宋体" w:eastAsia="宋体" w:cs="宋体"/>
          <w:b/>
          <w:bCs/>
          <w:color w:val="auto"/>
          <w:sz w:val="24"/>
          <w:szCs w:val="24"/>
          <w:highlight w:val="none"/>
          <w:lang w:val="en-US" w:eastAsia="zh-CN"/>
        </w:rPr>
        <w:t>66</w:t>
      </w:r>
      <w:r>
        <w:rPr>
          <w:rFonts w:hint="eastAsia" w:ascii="宋体" w:hAnsi="宋体" w:eastAsia="宋体" w:cs="宋体"/>
          <w:b/>
          <w:bCs/>
          <w:color w:val="auto"/>
          <w:sz w:val="24"/>
          <w:szCs w:val="24"/>
          <w:highlight w:val="none"/>
          <w:lang w:val="zh-TW" w:eastAsia="zh-CN"/>
        </w:rPr>
        <w:t>%，审计结束后付至审定价的95%，质保期满后付清余款。</w:t>
      </w:r>
    </w:p>
    <w:p w14:paraId="05FC8CA2">
      <w:pPr>
        <w:pStyle w:val="793"/>
        <w:keepNext w:val="0"/>
        <w:keepLines w:val="0"/>
        <w:pageBreakBefore w:val="0"/>
        <w:widowControl w:val="0"/>
        <w:kinsoku/>
        <w:wordWrap/>
        <w:overflowPunct/>
        <w:topLinePunct w:val="0"/>
        <w:bidi w:val="0"/>
        <w:spacing w:line="360" w:lineRule="auto"/>
        <w:ind w:left="0" w:firstLine="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六、验收</w:t>
      </w:r>
    </w:p>
    <w:p w14:paraId="4592E386">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1、验收的实施主体：本项目</w:t>
      </w:r>
      <w:r>
        <w:rPr>
          <w:rFonts w:hint="eastAsia" w:ascii="宋体" w:hAnsi="宋体" w:eastAsia="宋体" w:cs="宋体"/>
          <w:color w:val="auto"/>
          <w:sz w:val="24"/>
          <w:szCs w:val="24"/>
          <w:highlight w:val="none"/>
          <w:lang w:val="zh-TW" w:eastAsia="zh-CN"/>
        </w:rPr>
        <w:t>采购单位。</w:t>
      </w:r>
    </w:p>
    <w:p w14:paraId="4BBB4454">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2、验收时间：项目完成后一个月内完成验收。</w:t>
      </w:r>
    </w:p>
    <w:p w14:paraId="45E45EAB">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3、验收方式：一次性验收。</w:t>
      </w:r>
    </w:p>
    <w:p w14:paraId="2977D708">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en-US" w:eastAsia="zh-CN"/>
        </w:rPr>
        <w:t>4、验收内容</w:t>
      </w:r>
      <w:r>
        <w:rPr>
          <w:rFonts w:hint="eastAsia" w:ascii="宋体" w:hAnsi="宋体" w:eastAsia="宋体" w:cs="宋体"/>
          <w:color w:val="auto"/>
          <w:sz w:val="24"/>
          <w:szCs w:val="24"/>
          <w:highlight w:val="none"/>
          <w:lang w:val="zh-TW" w:eastAsia="zh-CN"/>
        </w:rPr>
        <w:t>：数量、外观、质量、性能；符合规定的性能，无瑕疵和缺陷，质量为合格产品，可以正常使用。中标</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lang w:val="zh-TW" w:eastAsia="zh-CN"/>
        </w:rPr>
        <w:t>对质量问题负责包退、包换和包修，因此发生的费用由中标</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lang w:val="zh-TW" w:eastAsia="zh-CN"/>
        </w:rPr>
        <w:t>自行负责。</w:t>
      </w:r>
    </w:p>
    <w:p w14:paraId="4AF716FA">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TW" w:eastAsia="zh-CN"/>
        </w:rPr>
        <w:t>验收标准：按国家标准及厂方标准进行质量验收。</w:t>
      </w:r>
      <w:r>
        <w:rPr>
          <w:rFonts w:hint="eastAsia" w:ascii="宋体" w:hAnsi="宋体" w:eastAsia="宋体" w:cs="宋体"/>
          <w:color w:val="auto"/>
          <w:sz w:val="24"/>
          <w:szCs w:val="24"/>
          <w:highlight w:val="none"/>
          <w:lang w:val="en-US" w:eastAsia="zh-CN"/>
        </w:rPr>
        <w:t>中标方</w:t>
      </w:r>
      <w:r>
        <w:rPr>
          <w:rFonts w:hint="eastAsia" w:ascii="宋体" w:hAnsi="宋体" w:eastAsia="宋体" w:cs="宋体"/>
          <w:color w:val="auto"/>
          <w:sz w:val="24"/>
          <w:szCs w:val="24"/>
          <w:highlight w:val="none"/>
          <w:lang w:val="zh-TW" w:eastAsia="zh-CN"/>
        </w:rPr>
        <w:t>应提供详细的验收标准、验收手册。当双方对验收标准有争议时，可委托双方一致认可的国家相关权威检测中心进行检测，费用由责任方承担。只有在</w:t>
      </w:r>
      <w:r>
        <w:rPr>
          <w:rFonts w:hint="eastAsia" w:ascii="宋体" w:hAnsi="宋体" w:eastAsia="宋体" w:cs="宋体"/>
          <w:color w:val="auto"/>
          <w:sz w:val="24"/>
          <w:szCs w:val="24"/>
          <w:highlight w:val="none"/>
          <w:lang w:val="en-US" w:eastAsia="zh-CN"/>
        </w:rPr>
        <w:t>设备</w:t>
      </w:r>
      <w:r>
        <w:rPr>
          <w:rFonts w:hint="eastAsia" w:ascii="宋体" w:hAnsi="宋体" w:eastAsia="宋体" w:cs="宋体"/>
          <w:color w:val="auto"/>
          <w:sz w:val="24"/>
          <w:szCs w:val="24"/>
          <w:highlight w:val="none"/>
          <w:lang w:val="zh-TW" w:eastAsia="zh-CN"/>
        </w:rPr>
        <w:t>完全正常运转和</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val="zh-TW" w:eastAsia="zh-CN"/>
        </w:rPr>
        <w:t>方确认后，安装工作才能认为已全部完成。</w:t>
      </w:r>
    </w:p>
    <w:p w14:paraId="19851817">
      <w:pPr>
        <w:pStyle w:val="793"/>
        <w:keepNext w:val="0"/>
        <w:keepLines w:val="0"/>
        <w:pageBreakBefore w:val="0"/>
        <w:widowControl w:val="0"/>
        <w:kinsoku/>
        <w:wordWrap/>
        <w:overflowPunct/>
        <w:topLinePunct w:val="0"/>
        <w:bidi w:val="0"/>
        <w:spacing w:line="360" w:lineRule="auto"/>
        <w:ind w:left="0" w:firstLine="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val="zh-TW" w:eastAsia="zh-CN"/>
        </w:rPr>
        <w:t>、</w:t>
      </w:r>
      <w:r>
        <w:rPr>
          <w:rFonts w:hint="eastAsia" w:ascii="宋体" w:hAnsi="宋体" w:eastAsia="宋体" w:cs="宋体"/>
          <w:b/>
          <w:bCs/>
          <w:color w:val="auto"/>
          <w:sz w:val="24"/>
          <w:szCs w:val="24"/>
          <w:highlight w:val="none"/>
          <w:lang w:val="en-US" w:eastAsia="zh-CN"/>
        </w:rPr>
        <w:t>方案要求</w:t>
      </w:r>
    </w:p>
    <w:p w14:paraId="70C399BB">
      <w:pPr>
        <w:pStyle w:val="793"/>
        <w:keepNext w:val="0"/>
        <w:keepLines w:val="0"/>
        <w:pageBreakBefore w:val="0"/>
        <w:widowControl w:val="0"/>
        <w:kinsoku/>
        <w:wordWrap/>
        <w:overflowPunct/>
        <w:topLinePunct w:val="0"/>
        <w:bidi w:val="0"/>
        <w:spacing w:line="360" w:lineRule="auto"/>
        <w:ind w:left="0" w:firstLine="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  1、针对工程质量保证措施，工程质量要求合格，投标人针对项目实际情况具有相应的</w:t>
      </w:r>
      <w:r>
        <w:rPr>
          <w:rFonts w:hint="eastAsia" w:ascii="宋体" w:hAnsi="宋体" w:eastAsia="宋体" w:cs="宋体"/>
          <w:b w:val="0"/>
          <w:bCs w:val="0"/>
          <w:color w:val="auto"/>
          <w:sz w:val="24"/>
          <w:szCs w:val="24"/>
          <w:highlight w:val="none"/>
        </w:rPr>
        <w:t>质量控制目标</w:t>
      </w:r>
      <w:r>
        <w:rPr>
          <w:rFonts w:hint="eastAsia" w:ascii="宋体" w:hAnsi="宋体" w:eastAsia="宋体" w:cs="宋体"/>
          <w:b w:val="0"/>
          <w:bCs w:val="0"/>
          <w:color w:val="auto"/>
          <w:sz w:val="24"/>
          <w:szCs w:val="24"/>
          <w:highlight w:val="none"/>
          <w:lang w:val="en-US" w:eastAsia="zh-CN"/>
        </w:rPr>
        <w:t>措施，具有健全的</w:t>
      </w:r>
      <w:r>
        <w:rPr>
          <w:rFonts w:hint="eastAsia" w:ascii="宋体" w:hAnsi="宋体" w:eastAsia="宋体" w:cs="宋体"/>
          <w:b w:val="0"/>
          <w:bCs w:val="0"/>
          <w:color w:val="auto"/>
          <w:sz w:val="24"/>
          <w:szCs w:val="24"/>
          <w:highlight w:val="none"/>
        </w:rPr>
        <w:t>质量保证体系</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质量控制制度</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质量管理措施。</w:t>
      </w:r>
    </w:p>
    <w:p w14:paraId="3D794154">
      <w:pPr>
        <w:pStyle w:val="793"/>
        <w:keepNext w:val="0"/>
        <w:keepLines w:val="0"/>
        <w:pageBreakBefore w:val="0"/>
        <w:widowControl w:val="0"/>
        <w:kinsoku/>
        <w:wordWrap/>
        <w:overflowPunct/>
        <w:topLinePunct w:val="0"/>
        <w:bidi w:val="0"/>
        <w:spacing w:line="360" w:lineRule="auto"/>
        <w:ind w:left="0" w:firstLine="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项目进度保证</w:t>
      </w:r>
      <w:r>
        <w:rPr>
          <w:rFonts w:hint="eastAsia" w:ascii="宋体" w:hAnsi="宋体" w:eastAsia="宋体" w:cs="宋体"/>
          <w:b w:val="0"/>
          <w:bCs w:val="0"/>
          <w:color w:val="auto"/>
          <w:sz w:val="24"/>
          <w:szCs w:val="24"/>
          <w:highlight w:val="none"/>
          <w:lang w:val="en-US" w:eastAsia="zh-CN"/>
        </w:rPr>
        <w:t>方案，要求投标人提供详细的进度计划、工期保证措施，为保证按时竣工，具有相应的满足进度施工的设备及材料资源进场使用计划；</w:t>
      </w:r>
    </w:p>
    <w:p w14:paraId="6B2FFDA7">
      <w:pPr>
        <w:pStyle w:val="793"/>
        <w:keepNext w:val="0"/>
        <w:keepLines w:val="0"/>
        <w:pageBreakBefore w:val="0"/>
        <w:widowControl w:val="0"/>
        <w:kinsoku/>
        <w:wordWrap/>
        <w:overflowPunct/>
        <w:topLinePunct w:val="0"/>
        <w:bidi w:val="0"/>
        <w:spacing w:line="360" w:lineRule="auto"/>
        <w:ind w:left="0" w:firstLine="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售后服务方案</w:t>
      </w:r>
      <w:r>
        <w:rPr>
          <w:rFonts w:hint="eastAsia" w:ascii="宋体" w:hAnsi="宋体" w:eastAsia="宋体" w:cs="宋体"/>
          <w:b w:val="0"/>
          <w:bCs w:val="0"/>
          <w:color w:val="auto"/>
          <w:sz w:val="24"/>
          <w:szCs w:val="24"/>
          <w:highlight w:val="none"/>
          <w:lang w:val="en-US" w:eastAsia="zh-CN"/>
        </w:rPr>
        <w:t>，投标人针对项目的后期维护及保养，指定详细的培训计划，健全服务响应机制及人员安排，对设备故障、无故停机、喷淋堵塞、水压低等具有相应应急处理措施；</w:t>
      </w:r>
    </w:p>
    <w:p w14:paraId="349BA772">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4、安全管理措施及应急预案，投标人应有详细的</w:t>
      </w:r>
      <w:r>
        <w:rPr>
          <w:rFonts w:hint="eastAsia" w:ascii="宋体" w:hAnsi="宋体" w:eastAsia="宋体" w:cs="宋体"/>
          <w:b w:val="0"/>
          <w:bCs w:val="0"/>
          <w:color w:val="auto"/>
          <w:sz w:val="24"/>
          <w:szCs w:val="24"/>
          <w:highlight w:val="none"/>
        </w:rPr>
        <w:t>安全管理制度</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安全保证措施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安全施工措施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针对消防、防汛、防台</w:t>
      </w:r>
      <w:r>
        <w:rPr>
          <w:rFonts w:hint="eastAsia" w:ascii="宋体" w:hAnsi="宋体" w:eastAsia="宋体" w:cs="宋体"/>
          <w:b w:val="0"/>
          <w:bCs w:val="0"/>
          <w:color w:val="auto"/>
          <w:sz w:val="24"/>
          <w:szCs w:val="24"/>
          <w:highlight w:val="none"/>
        </w:rPr>
        <w:t>应急预案。</w:t>
      </w:r>
    </w:p>
    <w:p w14:paraId="133B11A1">
      <w:pPr>
        <w:pStyle w:val="793"/>
        <w:keepNext w:val="0"/>
        <w:keepLines w:val="0"/>
        <w:pageBreakBefore w:val="0"/>
        <w:widowControl w:val="0"/>
        <w:kinsoku/>
        <w:wordWrap/>
        <w:overflowPunct/>
        <w:topLinePunct w:val="0"/>
        <w:bidi w:val="0"/>
        <w:spacing w:line="360" w:lineRule="auto"/>
        <w:ind w:firstLine="0"/>
        <w:textAlignment w:val="auto"/>
        <w:rPr>
          <w:rFonts w:hint="eastAsia" w:ascii="宋体" w:hAnsi="宋体" w:eastAsia="宋体" w:cs="宋体"/>
          <w:color w:val="auto"/>
          <w:sz w:val="24"/>
          <w:szCs w:val="24"/>
          <w:highlight w:val="none"/>
          <w:lang w:val="zh-TW" w:eastAsia="zh-TW"/>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val="en-US"/>
        </w:rPr>
        <w:t>、</w:t>
      </w:r>
      <w:r>
        <w:rPr>
          <w:rFonts w:hint="eastAsia" w:ascii="宋体" w:hAnsi="宋体" w:eastAsia="宋体" w:cs="宋体"/>
          <w:b/>
          <w:bCs/>
          <w:color w:val="auto"/>
          <w:sz w:val="24"/>
          <w:szCs w:val="24"/>
          <w:highlight w:val="none"/>
          <w:lang w:val="zh-TW" w:eastAsia="zh-TW"/>
        </w:rPr>
        <w:t>综合说明</w:t>
      </w:r>
    </w:p>
    <w:p w14:paraId="0A6BE7A4">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b/>
          <w:bCs/>
          <w:color w:val="auto"/>
          <w:sz w:val="24"/>
          <w:szCs w:val="24"/>
          <w:highlight w:val="none"/>
          <w:lang w:val="en-US" w:eastAsia="zh-CN"/>
        </w:rPr>
        <w:t>履约保证金：</w:t>
      </w:r>
      <w:r>
        <w:rPr>
          <w:rFonts w:hint="eastAsia" w:ascii="宋体" w:hAnsi="宋体" w:eastAsia="宋体" w:cs="宋体"/>
          <w:color w:val="auto"/>
          <w:sz w:val="24"/>
          <w:szCs w:val="24"/>
          <w:highlight w:val="none"/>
          <w:lang w:val="en-US" w:eastAsia="zh-CN"/>
        </w:rPr>
        <w:t>银行保函的形式，担保金额为中标价的</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%，担保期限至项目验收合格。项目验收合格后，</w:t>
      </w:r>
      <w:r>
        <w:rPr>
          <w:rFonts w:hint="eastAsia" w:ascii="宋体" w:hAnsi="宋体" w:eastAsia="宋体" w:cs="宋体"/>
          <w:color w:val="auto"/>
          <w:sz w:val="24"/>
          <w:szCs w:val="24"/>
          <w:highlight w:val="none"/>
        </w:rPr>
        <w:t>采购人在五个工作日内退返</w:t>
      </w:r>
      <w:r>
        <w:rPr>
          <w:rFonts w:hint="eastAsia" w:ascii="宋体" w:hAnsi="宋体" w:eastAsia="宋体" w:cs="宋体"/>
          <w:color w:val="auto"/>
          <w:sz w:val="24"/>
          <w:szCs w:val="24"/>
          <w:highlight w:val="none"/>
          <w:lang w:val="en-US" w:eastAsia="zh-CN"/>
        </w:rPr>
        <w:t>银行保函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lang w:val="zh-CN"/>
        </w:rPr>
        <w:t>方不能履约、没有履约或违约，</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val="zh-CN"/>
        </w:rPr>
        <w:t>方</w:t>
      </w:r>
      <w:r>
        <w:rPr>
          <w:rFonts w:hint="eastAsia" w:ascii="宋体" w:hAnsi="宋体" w:eastAsia="宋体" w:cs="宋体"/>
          <w:color w:val="auto"/>
          <w:sz w:val="24"/>
          <w:szCs w:val="24"/>
          <w:highlight w:val="none"/>
          <w:lang w:val="en-US" w:eastAsia="zh-CN"/>
        </w:rPr>
        <w:t>有权</w:t>
      </w:r>
      <w:r>
        <w:rPr>
          <w:rFonts w:hint="eastAsia" w:ascii="宋体" w:hAnsi="宋体" w:eastAsia="宋体" w:cs="宋体"/>
          <w:color w:val="auto"/>
          <w:sz w:val="24"/>
          <w:szCs w:val="24"/>
          <w:highlight w:val="none"/>
          <w:lang w:val="zh-CN"/>
        </w:rPr>
        <w:t>无条件清场，并应赔偿</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val="zh-CN"/>
        </w:rPr>
        <w:t>方因此遭受的损失。</w:t>
      </w:r>
    </w:p>
    <w:p w14:paraId="60932B46">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b/>
          <w:bCs/>
          <w:color w:val="auto"/>
          <w:sz w:val="24"/>
          <w:szCs w:val="24"/>
          <w:highlight w:val="none"/>
          <w:lang w:val="en-US" w:eastAsia="zh-CN" w:bidi="ar-SA"/>
        </w:rPr>
        <w:t>现场踏勘：</w:t>
      </w:r>
      <w:r>
        <w:rPr>
          <w:rFonts w:hint="eastAsia" w:ascii="宋体" w:hAnsi="宋体" w:eastAsia="宋体" w:cs="宋体"/>
          <w:color w:val="auto"/>
          <w:sz w:val="24"/>
          <w:szCs w:val="24"/>
          <w:highlight w:val="none"/>
          <w:lang w:val="en-US" w:eastAsia="zh-CN" w:bidi="ar-SA"/>
        </w:rPr>
        <w:t>根据自身投标需要，投标人可自行对项目现场和周围环境进行踏勘，以获取编制投标文件和签署合同所需的信息，所发生的费用由投标人自己承担。</w:t>
      </w:r>
    </w:p>
    <w:p w14:paraId="2F8B9A3A">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TW" w:eastAsia="zh-TW"/>
        </w:rPr>
        <w:t>、</w:t>
      </w:r>
      <w:r>
        <w:rPr>
          <w:rFonts w:hint="eastAsia" w:ascii="宋体" w:hAnsi="宋体" w:eastAsia="宋体" w:cs="宋体"/>
          <w:color w:val="auto"/>
          <w:sz w:val="24"/>
          <w:szCs w:val="24"/>
          <w:highlight w:val="none"/>
          <w:lang w:val="en-US"/>
        </w:rPr>
        <w:t>投标单位</w:t>
      </w:r>
      <w:r>
        <w:rPr>
          <w:rFonts w:hint="eastAsia" w:ascii="宋体" w:hAnsi="宋体" w:eastAsia="宋体" w:cs="宋体"/>
          <w:color w:val="auto"/>
          <w:sz w:val="24"/>
          <w:szCs w:val="24"/>
          <w:highlight w:val="none"/>
          <w:lang w:val="zh-TW" w:eastAsia="zh-TW"/>
        </w:rPr>
        <w:t>必须承诺</w:t>
      </w:r>
      <w:r>
        <w:rPr>
          <w:rFonts w:hint="eastAsia" w:ascii="宋体" w:hAnsi="宋体" w:eastAsia="宋体" w:cs="宋体"/>
          <w:color w:val="auto"/>
          <w:sz w:val="24"/>
          <w:szCs w:val="24"/>
          <w:highlight w:val="none"/>
          <w:lang w:val="en-US"/>
        </w:rPr>
        <w:t>招标</w:t>
      </w:r>
      <w:r>
        <w:rPr>
          <w:rFonts w:hint="eastAsia" w:ascii="宋体" w:hAnsi="宋体" w:eastAsia="宋体" w:cs="宋体"/>
          <w:color w:val="auto"/>
          <w:sz w:val="24"/>
          <w:szCs w:val="24"/>
          <w:highlight w:val="none"/>
          <w:lang w:val="zh-TW" w:eastAsia="zh-TW"/>
        </w:rPr>
        <w:t>文件中提出的全部要求，如果其中某些条款不响应时，应在文件中逐条列出，未列出的视同响应。</w:t>
      </w:r>
    </w:p>
    <w:p w14:paraId="42CF4AC5">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TW" w:eastAsia="zh-TW"/>
        </w:rPr>
        <w:t>、</w:t>
      </w:r>
      <w:r>
        <w:rPr>
          <w:rFonts w:hint="eastAsia" w:ascii="宋体" w:hAnsi="宋体" w:eastAsia="宋体" w:cs="宋体"/>
          <w:color w:val="auto"/>
          <w:sz w:val="24"/>
          <w:szCs w:val="24"/>
          <w:highlight w:val="none"/>
          <w:lang w:val="en-US"/>
        </w:rPr>
        <w:t>投标单位</w:t>
      </w:r>
      <w:r>
        <w:rPr>
          <w:rFonts w:hint="eastAsia" w:ascii="宋体" w:hAnsi="宋体" w:eastAsia="宋体" w:cs="宋体"/>
          <w:color w:val="auto"/>
          <w:sz w:val="24"/>
          <w:szCs w:val="24"/>
          <w:highlight w:val="none"/>
          <w:lang w:val="zh-TW" w:eastAsia="zh-TW"/>
        </w:rPr>
        <w:t>应对所投项目的全部内容进行报价，只投其中部分内容者或出现选择性报价的，其</w:t>
      </w:r>
      <w:r>
        <w:rPr>
          <w:rFonts w:hint="eastAsia" w:ascii="宋体" w:hAnsi="宋体" w:eastAsia="宋体" w:cs="宋体"/>
          <w:color w:val="auto"/>
          <w:sz w:val="24"/>
          <w:szCs w:val="24"/>
          <w:highlight w:val="none"/>
          <w:lang w:val="en-US"/>
        </w:rPr>
        <w:t>投标</w:t>
      </w:r>
      <w:r>
        <w:rPr>
          <w:rFonts w:hint="eastAsia" w:ascii="宋体" w:hAnsi="宋体" w:eastAsia="宋体" w:cs="宋体"/>
          <w:color w:val="auto"/>
          <w:sz w:val="24"/>
          <w:szCs w:val="24"/>
          <w:highlight w:val="none"/>
          <w:lang w:val="zh-TW" w:eastAsia="zh-TW"/>
        </w:rPr>
        <w:t>文件将被拒绝。</w:t>
      </w:r>
      <w:r>
        <w:rPr>
          <w:rFonts w:hint="eastAsia" w:ascii="宋体" w:hAnsi="宋体" w:eastAsia="宋体" w:cs="宋体"/>
          <w:color w:val="auto"/>
          <w:sz w:val="24"/>
          <w:szCs w:val="24"/>
          <w:highlight w:val="none"/>
          <w:lang w:val="en-US"/>
        </w:rPr>
        <w:t>投标</w:t>
      </w:r>
      <w:r>
        <w:rPr>
          <w:rFonts w:hint="eastAsia" w:ascii="宋体" w:hAnsi="宋体" w:eastAsia="宋体" w:cs="宋体"/>
          <w:color w:val="auto"/>
          <w:sz w:val="24"/>
          <w:szCs w:val="24"/>
          <w:highlight w:val="none"/>
          <w:lang w:val="zh-TW" w:eastAsia="zh-TW"/>
        </w:rPr>
        <w:t>总报价包括</w:t>
      </w:r>
      <w:r>
        <w:rPr>
          <w:rFonts w:hint="eastAsia" w:ascii="宋体" w:hAnsi="宋体" w:eastAsia="宋体" w:cs="宋体"/>
          <w:color w:val="auto"/>
          <w:sz w:val="24"/>
          <w:szCs w:val="24"/>
          <w:highlight w:val="none"/>
          <w:lang w:val="en-US"/>
        </w:rPr>
        <w:t>但不限于全部设备、</w:t>
      </w:r>
      <w:r>
        <w:rPr>
          <w:rFonts w:hint="eastAsia" w:ascii="宋体" w:hAnsi="宋体" w:eastAsia="宋体" w:cs="宋体"/>
          <w:color w:val="auto"/>
          <w:sz w:val="24"/>
          <w:szCs w:val="24"/>
          <w:highlight w:val="none"/>
          <w:lang w:val="en-US" w:eastAsia="zh-CN"/>
        </w:rPr>
        <w:t>配套耗材</w:t>
      </w:r>
      <w:r>
        <w:rPr>
          <w:rFonts w:hint="eastAsia" w:ascii="宋体" w:hAnsi="宋体" w:eastAsia="宋体" w:cs="宋体"/>
          <w:color w:val="auto"/>
          <w:sz w:val="24"/>
          <w:szCs w:val="24"/>
          <w:highlight w:val="none"/>
          <w:lang w:val="en-US"/>
        </w:rPr>
        <w:t>、人工、机械、运输、仓储、安装、调试、</w:t>
      </w:r>
      <w:r>
        <w:rPr>
          <w:rFonts w:hint="eastAsia" w:ascii="宋体" w:hAnsi="宋体" w:eastAsia="宋体" w:cs="宋体"/>
          <w:color w:val="auto"/>
          <w:sz w:val="24"/>
          <w:szCs w:val="24"/>
          <w:highlight w:val="none"/>
          <w:lang w:val="en-US" w:eastAsia="zh-CN"/>
        </w:rPr>
        <w:t>培训、</w:t>
      </w:r>
      <w:r>
        <w:rPr>
          <w:rFonts w:hint="eastAsia" w:ascii="宋体" w:hAnsi="宋体" w:eastAsia="宋体" w:cs="宋体"/>
          <w:color w:val="auto"/>
          <w:sz w:val="24"/>
          <w:szCs w:val="24"/>
          <w:highlight w:val="none"/>
          <w:lang w:val="en-US"/>
        </w:rPr>
        <w:t>保险、各种税费、专利技术、质保期间等一切费用及其他费用。</w:t>
      </w:r>
    </w:p>
    <w:p w14:paraId="018579A1">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zh-TW" w:eastAsia="zh-TW"/>
        </w:rPr>
        <w:t>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p>
    <w:p w14:paraId="5C9A3CA6">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TW" w:eastAsia="zh-TW"/>
        </w:rPr>
        <w:t>、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p>
    <w:p w14:paraId="1A230583">
      <w:pPr>
        <w:pStyle w:val="793"/>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TW" w:eastAsia="zh-TW"/>
        </w:rPr>
        <w:t>、凡涉及招标文件的补充说明和修改，均以江苏省政府采购网、苏州市政府采购网、苏州市公共资源交易平台最后发布的内容为准。</w:t>
      </w:r>
    </w:p>
    <w:p w14:paraId="7EF7393D">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2EB9ADD1">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zh-CN" w:eastAsia="zh-CN"/>
        </w:rPr>
      </w:pPr>
      <w:r>
        <w:rPr>
          <w:rFonts w:hint="eastAsia" w:ascii="宋体" w:hAnsi="宋体" w:eastAsia="宋体" w:cs="宋体"/>
          <w:b/>
          <w:bCs/>
          <w:color w:val="auto"/>
          <w:kern w:val="2"/>
          <w:sz w:val="24"/>
          <w:szCs w:val="24"/>
          <w:highlight w:val="none"/>
          <w:lang w:val="en-US" w:eastAsia="zh-CN"/>
        </w:rPr>
        <w:t>九</w:t>
      </w:r>
      <w:r>
        <w:rPr>
          <w:rFonts w:hint="eastAsia" w:ascii="宋体" w:hAnsi="宋体" w:eastAsia="宋体" w:cs="宋体"/>
          <w:b/>
          <w:bCs/>
          <w:color w:val="auto"/>
          <w:kern w:val="2"/>
          <w:sz w:val="24"/>
          <w:szCs w:val="24"/>
          <w:highlight w:val="none"/>
          <w:lang w:val="zh-CN" w:eastAsia="zh-CN"/>
        </w:rPr>
        <w:t>、政策执行</w:t>
      </w:r>
    </w:p>
    <w:p w14:paraId="244DEA18">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1、本次招标不接受进口产品投标。进口产品的定义为：指通过中国海关报关验收进入中国境内且产自境外的产品，具体按照苏财购〔2008〕14号江苏省财政厅转发财政部办公厅关于政府采购进口产品管理有关问题的通知的规定。</w:t>
      </w:r>
    </w:p>
    <w:p w14:paraId="5C1A52EA">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p>
    <w:p w14:paraId="78EBBDAF">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p>
    <w:p w14:paraId="06D8EB3F">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p>
    <w:p w14:paraId="4AC58F5A">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val="0"/>
          <w:bCs w:val="0"/>
          <w:color w:val="auto"/>
          <w:kern w:val="2"/>
          <w:sz w:val="24"/>
          <w:szCs w:val="24"/>
          <w:highlight w:val="none"/>
          <w:lang w:val="en-US" w:eastAsia="zh-CN"/>
        </w:rPr>
        <w:t>批发业</w:t>
      </w:r>
      <w:r>
        <w:rPr>
          <w:rFonts w:hint="eastAsia" w:ascii="宋体" w:hAnsi="宋体" w:eastAsia="宋体" w:cs="宋体"/>
          <w:b w:val="0"/>
          <w:bCs w:val="0"/>
          <w:color w:val="auto"/>
          <w:kern w:val="2"/>
          <w:sz w:val="24"/>
          <w:szCs w:val="24"/>
          <w:highlight w:val="none"/>
          <w:lang w:val="zh-CN" w:eastAsia="zh-CN"/>
        </w:rPr>
        <w:t>。</w:t>
      </w:r>
    </w:p>
    <w:p w14:paraId="181943C5">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3、残疾人福利性单位（若为专门面向中小企业采购的项目或者采购包，不再执行价格评审优惠的扶持政策）</w:t>
      </w:r>
    </w:p>
    <w:p w14:paraId="1C498867">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4C0294DC">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4、监狱企业（若为专门面向中小企业采购的项目或者采购包，不再执行价格评审优惠的扶持政策）</w:t>
      </w:r>
    </w:p>
    <w:p w14:paraId="1A1593AA">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48CEAF22">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5、绿色采购</w:t>
      </w:r>
    </w:p>
    <w:p w14:paraId="3C21850B">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p>
    <w:p w14:paraId="6CF9BABB">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437D7991">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7D919141">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en-US" w:eastAsia="zh-CN"/>
        </w:rPr>
        <w:t>6</w:t>
      </w:r>
      <w:r>
        <w:rPr>
          <w:rFonts w:hint="eastAsia" w:ascii="宋体" w:hAnsi="宋体" w:eastAsia="宋体" w:cs="宋体"/>
          <w:b w:val="0"/>
          <w:bCs w:val="0"/>
          <w:color w:val="auto"/>
          <w:kern w:val="2"/>
          <w:sz w:val="24"/>
          <w:szCs w:val="24"/>
          <w:highlight w:val="none"/>
          <w:lang w:val="zh-CN" w:eastAsia="zh-CN"/>
        </w:rPr>
        <w:t>、关于推动解决政府采购异常低价问题相关工作的通知（苏财购〔2025〕62号）。</w:t>
      </w:r>
    </w:p>
    <w:p w14:paraId="3588BBAD">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采购人应在采购文件中明确评审委员会启动异常低价投标（响应）审查的情形和具体要求，包括：</w:t>
      </w:r>
    </w:p>
    <w:p w14:paraId="64605A65">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en-US" w:eastAsia="zh-CN"/>
        </w:rPr>
        <w:t>6</w:t>
      </w:r>
      <w:r>
        <w:rPr>
          <w:rFonts w:hint="eastAsia" w:ascii="宋体" w:hAnsi="宋体" w:eastAsia="宋体" w:cs="宋体"/>
          <w:b w:val="0"/>
          <w:bCs w:val="0"/>
          <w:color w:val="auto"/>
          <w:kern w:val="2"/>
          <w:sz w:val="24"/>
          <w:szCs w:val="24"/>
          <w:highlight w:val="none"/>
          <w:lang w:val="zh-CN" w:eastAsia="zh-CN"/>
        </w:rPr>
        <w:t>.1评审过程中出现下列情形之一的，评审委员会应当启动异常低价投标（响应）审查程序：</w:t>
      </w:r>
    </w:p>
    <w:p w14:paraId="1E09FA53">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（1）投标（响应）报价低于采购项目预算50%的，即投标（响应）报价&lt;采购项目预算×50%；</w:t>
      </w:r>
    </w:p>
    <w:p w14:paraId="26B51812">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（2）投标（响应）报价低于采购项目最高限价45%的，即投标（响应）报价&lt;采购项目最高限价×45%；</w:t>
      </w:r>
    </w:p>
    <w:p w14:paraId="2E3BF618">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zh-CN" w:eastAsia="zh-CN"/>
        </w:rPr>
        <w:t>（3）评审委员会认定的供应商报价过低、有可能影响产品质量或者不能诚信履约的其他情形。</w:t>
      </w:r>
    </w:p>
    <w:p w14:paraId="763D83D5">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en-US" w:eastAsia="zh-CN"/>
        </w:rPr>
        <w:t>6</w:t>
      </w:r>
      <w:r>
        <w:rPr>
          <w:rFonts w:hint="eastAsia" w:ascii="宋体" w:hAnsi="宋体" w:eastAsia="宋体" w:cs="宋体"/>
          <w:b w:val="0"/>
          <w:bCs w:val="0"/>
          <w:color w:val="auto"/>
          <w:kern w:val="2"/>
          <w:sz w:val="24"/>
          <w:szCs w:val="24"/>
          <w:highlight w:val="none"/>
          <w:lang w:val="zh-CN" w:eastAsia="zh-CN"/>
        </w:rPr>
        <w:t>.2启动异常低价投标（响应）审查后，评审委员会应当要求相关供应商在评标现场合理的时间（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FAD7D3A">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2"/>
          <w:sz w:val="24"/>
          <w:szCs w:val="24"/>
          <w:highlight w:val="none"/>
          <w:lang w:val="zh-CN" w:eastAsia="zh-CN"/>
        </w:rPr>
      </w:pPr>
      <w:r>
        <w:rPr>
          <w:rFonts w:hint="eastAsia" w:ascii="宋体" w:hAnsi="宋体" w:eastAsia="宋体" w:cs="宋体"/>
          <w:b w:val="0"/>
          <w:bCs w:val="0"/>
          <w:color w:val="auto"/>
          <w:kern w:val="2"/>
          <w:sz w:val="24"/>
          <w:szCs w:val="24"/>
          <w:highlight w:val="none"/>
          <w:lang w:val="en-US" w:eastAsia="zh-CN"/>
        </w:rPr>
        <w:t>6</w:t>
      </w:r>
      <w:r>
        <w:rPr>
          <w:rFonts w:hint="eastAsia" w:ascii="宋体" w:hAnsi="宋体" w:eastAsia="宋体" w:cs="宋体"/>
          <w:b w:val="0"/>
          <w:bCs w:val="0"/>
          <w:color w:val="auto"/>
          <w:kern w:val="2"/>
          <w:sz w:val="24"/>
          <w:szCs w:val="24"/>
          <w:highlight w:val="none"/>
          <w:lang w:val="zh-CN" w:eastAsia="zh-CN"/>
        </w:rPr>
        <w:t>.3异常低价审查有关要求，均以苏财购〔2025〕62号为准。</w:t>
      </w:r>
    </w:p>
    <w:p w14:paraId="47D40A6F">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226EC0AB">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52A52A04">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325A53E5">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5BE72E2D">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296185FB">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4DE97902">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492F5900">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084633EB">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2DC8D026">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6E9BDBD0">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0F3B90E4">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07C23DF9">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183F2E9E">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562E95B8">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0DA47C96">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4D9FFA21">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01869F7D">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558857C0">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7D7239BB">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3936AA61">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0CAAB01E">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69FC62BF">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7B617D17">
      <w:pPr>
        <w:keepNext w:val="0"/>
        <w:keepLines w:val="0"/>
        <w:pageBreakBefore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en-US" w:eastAsia="zh-CN"/>
        </w:rPr>
      </w:pPr>
    </w:p>
    <w:p w14:paraId="7C204190">
      <w:pPr>
        <w:pStyle w:val="373"/>
        <w:rPr>
          <w:rFonts w:hint="eastAsia" w:ascii="宋体" w:hAnsi="宋体" w:eastAsia="宋体" w:cs="宋体"/>
          <w:color w:val="auto"/>
          <w:highlight w:val="none"/>
        </w:rPr>
      </w:pPr>
      <w:r>
        <w:rPr>
          <w:rFonts w:hint="eastAsia" w:ascii="宋体" w:hAnsi="宋体" w:eastAsia="宋体" w:cs="宋体"/>
          <w:color w:val="auto"/>
          <w:highlight w:val="none"/>
        </w:rPr>
        <w:t>第四部分 投标文件格式</w:t>
      </w:r>
    </w:p>
    <w:p w14:paraId="6BE6867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2ADB209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对本章所有的投标书格式，投标方可根据自身情况进行补充和修改，但补充和修改不得造成与本格式内容有实质性的违背。</w:t>
      </w:r>
      <w:bookmarkEnd w:id="13"/>
    </w:p>
    <w:p w14:paraId="42EB9CE0">
      <w:pPr>
        <w:widowControl/>
        <w:jc w:val="left"/>
        <w:rPr>
          <w:rFonts w:hint="eastAsia" w:ascii="宋体" w:hAnsi="宋体" w:eastAsia="宋体" w:cs="宋体"/>
          <w:b/>
          <w:color w:val="auto"/>
          <w:sz w:val="24"/>
          <w:szCs w:val="24"/>
          <w:highlight w:val="none"/>
        </w:rPr>
      </w:pPr>
    </w:p>
    <w:p w14:paraId="241327E8">
      <w:pPr>
        <w:pStyle w:val="4"/>
        <w:spacing w:line="42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格式1：</w:t>
      </w:r>
      <w:r>
        <w:rPr>
          <w:rFonts w:hint="eastAsia" w:ascii="宋体" w:hAnsi="宋体" w:eastAsia="宋体" w:cs="宋体"/>
          <w:color w:val="auto"/>
          <w:sz w:val="24"/>
          <w:szCs w:val="24"/>
          <w:highlight w:val="none"/>
        </w:rPr>
        <w:t>投标函</w:t>
      </w:r>
    </w:p>
    <w:p w14:paraId="2804BE17">
      <w:pPr>
        <w:pStyle w:val="253"/>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投标函</w:t>
      </w:r>
    </w:p>
    <w:p w14:paraId="0706B7B1">
      <w:pPr>
        <w:pStyle w:val="253"/>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苏州泛亚万隆建设工程咨询有限公司</w:t>
      </w:r>
      <w:r>
        <w:rPr>
          <w:rFonts w:hint="eastAsia" w:ascii="宋体" w:hAnsi="宋体" w:eastAsia="宋体" w:cs="宋体"/>
          <w:bCs/>
          <w:color w:val="auto"/>
          <w:sz w:val="24"/>
          <w:szCs w:val="24"/>
          <w:highlight w:val="none"/>
        </w:rPr>
        <w:t>：</w:t>
      </w:r>
    </w:p>
    <w:p w14:paraId="75144A79">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我方收到贵公司</w:t>
      </w:r>
      <w:r>
        <w:rPr>
          <w:rFonts w:hint="eastAsia" w:ascii="宋体" w:hAnsi="宋体" w:eastAsia="宋体" w:cs="宋体"/>
          <w:color w:val="auto"/>
          <w:sz w:val="24"/>
          <w:szCs w:val="24"/>
          <w:highlight w:val="none"/>
          <w:u w:val="single"/>
          <w:lang w:eastAsia="zh-CN"/>
        </w:rPr>
        <w:t>JSZC-320585-FYWL-C2025-0023</w:t>
      </w:r>
      <w:r>
        <w:rPr>
          <w:rFonts w:hint="eastAsia" w:ascii="宋体" w:hAnsi="宋体" w:eastAsia="宋体" w:cs="宋体"/>
          <w:color w:val="auto"/>
          <w:sz w:val="24"/>
          <w:szCs w:val="24"/>
          <w:highlight w:val="none"/>
        </w:rPr>
        <w:t>号招标文件，经仔细阅读和研究，我方决定参加投标。并向贵公司承诺：</w:t>
      </w:r>
    </w:p>
    <w:p w14:paraId="54DD3102">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1、我方自愿按照招标文件规定的各项要求向采购人提供所需服务。</w:t>
      </w:r>
    </w:p>
    <w:p w14:paraId="50C597F8">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2、一旦我方中标，我们将严格履行招标文件中规定的每一项要求，按期、按质、按量履行合同的义务。</w:t>
      </w:r>
    </w:p>
    <w:p w14:paraId="3E136B28">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3．我们已详细审查全部招标文件，包括更正文件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，对招标文件及更正公告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无任何异议。我们完全理解并同意放弃对上述全部文件有不明及误解的权力。</w:t>
      </w:r>
    </w:p>
    <w:p w14:paraId="789CEF9D">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4、我们同意按招标文件中的规定，本投标书的有效期限为自投标截止之日起</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天。</w:t>
      </w:r>
    </w:p>
    <w:p w14:paraId="79852D53">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5、我们愿意提供招标采购单位在招标文件中要求的相关资料。</w:t>
      </w:r>
    </w:p>
    <w:p w14:paraId="548EC178">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6、我们愿意遵守招标公告及招标文件中所列的收费标准。</w:t>
      </w:r>
    </w:p>
    <w:p w14:paraId="16DCD006">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7、我们承诺该项投标在开标后的全过程中保持有效，不作任何更改和变动。</w:t>
      </w:r>
    </w:p>
    <w:p w14:paraId="769EA224">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8、我们同意中标方若无法按约定条款履行义务等行为，招标方有权取消其中标资格。</w:t>
      </w:r>
    </w:p>
    <w:p w14:paraId="237C15BB">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9、与本投标有关的通讯地址：</w:t>
      </w:r>
    </w:p>
    <w:p w14:paraId="76CC487E">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    位：                                   联 系 人：                   </w:t>
      </w:r>
    </w:p>
    <w:p w14:paraId="60B2B5E7">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邮政编码：                </w:t>
      </w:r>
    </w:p>
    <w:p w14:paraId="5F3279E5">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传    真：       </w:t>
      </w:r>
    </w:p>
    <w:p w14:paraId="0D00EB7D">
      <w:pPr>
        <w:spacing w:line="440" w:lineRule="exact"/>
        <w:ind w:firstLine="480"/>
        <w:rPr>
          <w:rFonts w:hint="eastAsia" w:ascii="宋体" w:hAnsi="宋体" w:eastAsia="宋体" w:cs="宋体"/>
          <w:color w:val="auto"/>
          <w:sz w:val="24"/>
          <w:szCs w:val="24"/>
          <w:highlight w:val="none"/>
        </w:rPr>
      </w:pPr>
    </w:p>
    <w:p w14:paraId="505E577D">
      <w:pP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12BE17E1">
      <w:pP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p>
    <w:p w14:paraId="4B35E296">
      <w:pP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投标日期：年月日</w:t>
      </w:r>
    </w:p>
    <w:p w14:paraId="0E438B28">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Cs/>
          <w:color w:val="auto"/>
          <w:sz w:val="24"/>
          <w:szCs w:val="24"/>
          <w:highlight w:val="none"/>
          <w:lang w:val="zh-CN"/>
        </w:rPr>
        <w:t>格式2：</w:t>
      </w:r>
      <w:r>
        <w:rPr>
          <w:rFonts w:hint="eastAsia" w:ascii="宋体" w:hAnsi="宋体" w:eastAsia="宋体" w:cs="宋体"/>
          <w:b/>
          <w:color w:val="auto"/>
          <w:sz w:val="24"/>
          <w:szCs w:val="24"/>
          <w:highlight w:val="none"/>
        </w:rPr>
        <w:t>法人授权委托书</w:t>
      </w:r>
    </w:p>
    <w:p w14:paraId="21155003">
      <w:pPr>
        <w:spacing w:line="360" w:lineRule="auto"/>
        <w:jc w:val="center"/>
        <w:outlineLvl w:val="0"/>
        <w:rPr>
          <w:rFonts w:hint="eastAsia" w:ascii="宋体" w:hAnsi="宋体" w:eastAsia="宋体" w:cs="宋体"/>
          <w:b/>
          <w:color w:val="auto"/>
          <w:sz w:val="24"/>
          <w:szCs w:val="24"/>
          <w:highlight w:val="none"/>
          <w:lang w:val="zh-CN"/>
        </w:rPr>
      </w:pPr>
    </w:p>
    <w:p w14:paraId="1D68605F">
      <w:pPr>
        <w:pStyle w:val="253"/>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法人授权委托书</w:t>
      </w:r>
    </w:p>
    <w:p w14:paraId="73D3FC11">
      <w:pPr>
        <w:spacing w:line="360" w:lineRule="auto"/>
        <w:ind w:firstLine="425"/>
        <w:rPr>
          <w:rFonts w:hint="eastAsia" w:ascii="宋体" w:hAnsi="宋体" w:eastAsia="宋体" w:cs="宋体"/>
          <w:color w:val="auto"/>
          <w:sz w:val="24"/>
          <w:szCs w:val="24"/>
          <w:highlight w:val="none"/>
          <w:lang w:val="zh-CN"/>
        </w:rPr>
      </w:pPr>
    </w:p>
    <w:p w14:paraId="26E7BC5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本授权委托书声明：我</w:t>
      </w:r>
      <w:r>
        <w:rPr>
          <w:rFonts w:hint="eastAsia" w:ascii="宋体" w:hAnsi="宋体" w:eastAsia="宋体" w:cs="宋体"/>
          <w:color w:val="auto"/>
          <w:sz w:val="24"/>
          <w:szCs w:val="24"/>
          <w:highlight w:val="none"/>
          <w:u w:val="single"/>
          <w:lang w:val="zh-CN"/>
        </w:rPr>
        <w:t xml:space="preserve"> （姓名） </w:t>
      </w:r>
      <w:r>
        <w:rPr>
          <w:rFonts w:hint="eastAsia" w:ascii="宋体" w:hAnsi="宋体" w:eastAsia="宋体" w:cs="宋体"/>
          <w:color w:val="auto"/>
          <w:sz w:val="24"/>
          <w:szCs w:val="24"/>
          <w:highlight w:val="none"/>
          <w:lang w:val="zh-CN"/>
        </w:rPr>
        <w:t>系</w:t>
      </w:r>
      <w:r>
        <w:rPr>
          <w:rFonts w:hint="eastAsia" w:ascii="宋体" w:hAnsi="宋体" w:eastAsia="宋体" w:cs="宋体"/>
          <w:color w:val="auto"/>
          <w:sz w:val="24"/>
          <w:szCs w:val="24"/>
          <w:highlight w:val="none"/>
          <w:u w:val="single"/>
          <w:lang w:val="zh-CN"/>
        </w:rPr>
        <w:t xml:space="preserve">     （投标人名称）</w:t>
      </w:r>
      <w:r>
        <w:rPr>
          <w:rFonts w:hint="eastAsia" w:ascii="宋体" w:hAnsi="宋体" w:eastAsia="宋体" w:cs="宋体"/>
          <w:color w:val="auto"/>
          <w:sz w:val="24"/>
          <w:szCs w:val="24"/>
          <w:highlight w:val="none"/>
          <w:lang w:val="zh-CN"/>
        </w:rPr>
        <w:t>的法定代表人，现授权委托</w:t>
      </w:r>
      <w:r>
        <w:rPr>
          <w:rFonts w:hint="eastAsia" w:ascii="宋体" w:hAnsi="宋体" w:eastAsia="宋体" w:cs="宋体"/>
          <w:color w:val="auto"/>
          <w:sz w:val="24"/>
          <w:szCs w:val="24"/>
          <w:highlight w:val="none"/>
          <w:u w:val="single"/>
          <w:lang w:val="zh-CN"/>
        </w:rPr>
        <w:t xml:space="preserve">（姓名） </w:t>
      </w:r>
      <w:r>
        <w:rPr>
          <w:rFonts w:hint="eastAsia" w:ascii="宋体" w:hAnsi="宋体" w:eastAsia="宋体" w:cs="宋体"/>
          <w:color w:val="auto"/>
          <w:sz w:val="24"/>
          <w:szCs w:val="24"/>
          <w:highlight w:val="none"/>
          <w:lang w:val="zh-CN"/>
        </w:rPr>
        <w:t>为我公司代理人，以本公司的名义参加</w:t>
      </w:r>
      <w:r>
        <w:rPr>
          <w:rFonts w:hint="eastAsia" w:ascii="宋体" w:hAnsi="宋体" w:eastAsia="宋体" w:cs="宋体"/>
          <w:color w:val="auto"/>
          <w:sz w:val="24"/>
          <w:szCs w:val="24"/>
          <w:highlight w:val="none"/>
          <w:lang w:val="zh-CN"/>
        </w:rPr>
        <w:t>苏州泛亚万隆建设工程咨询有限公司</w:t>
      </w:r>
      <w:r>
        <w:rPr>
          <w:rFonts w:hint="eastAsia" w:ascii="宋体" w:hAnsi="宋体" w:eastAsia="宋体" w:cs="宋体"/>
          <w:color w:val="auto"/>
          <w:sz w:val="24"/>
          <w:szCs w:val="24"/>
          <w:highlight w:val="none"/>
          <w:lang w:val="zh-CN"/>
        </w:rPr>
        <w:t>组织实施的编号为</w:t>
      </w:r>
      <w:r>
        <w:rPr>
          <w:rFonts w:hint="eastAsia" w:ascii="宋体" w:hAnsi="宋体" w:eastAsia="宋体" w:cs="宋体"/>
          <w:color w:val="auto"/>
          <w:sz w:val="24"/>
          <w:szCs w:val="24"/>
          <w:highlight w:val="none"/>
          <w:u w:val="single"/>
          <w:lang w:val="zh-CN"/>
        </w:rPr>
        <w:t>JSZC-320585-FYWL-C2025-0023</w:t>
      </w:r>
      <w:r>
        <w:rPr>
          <w:rFonts w:hint="eastAsia" w:ascii="宋体" w:hAnsi="宋体" w:eastAsia="宋体" w:cs="宋体"/>
          <w:color w:val="auto"/>
          <w:sz w:val="24"/>
          <w:szCs w:val="24"/>
          <w:highlight w:val="none"/>
          <w:lang w:val="zh-CN"/>
        </w:rPr>
        <w:t>的招投标活动。代理人在开标、评标、合同谈判过程中所签署的一切文件和处理与这有关的一切事务，我均予以承认。</w:t>
      </w:r>
    </w:p>
    <w:p w14:paraId="7ECE191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代理人在授权委托书有效期内签署的所有文件不因授权委托的撤销而失效，除非有撤销授权委托的书面通知，本授权委托书自投标开始至合同履行完毕止。</w:t>
      </w:r>
    </w:p>
    <w:p w14:paraId="47926A8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代理人无转委托权。特此委托。</w:t>
      </w:r>
    </w:p>
    <w:p w14:paraId="134004B6">
      <w:pPr>
        <w:spacing w:line="360" w:lineRule="auto"/>
        <w:rPr>
          <w:rFonts w:hint="eastAsia" w:ascii="宋体" w:hAnsi="宋体" w:eastAsia="宋体" w:cs="宋体"/>
          <w:color w:val="auto"/>
          <w:sz w:val="24"/>
          <w:szCs w:val="24"/>
          <w:highlight w:val="none"/>
        </w:rPr>
      </w:pPr>
    </w:p>
    <w:p w14:paraId="78ABA7C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投标单位：（公章）</w:t>
      </w:r>
    </w:p>
    <w:p w14:paraId="63F989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法定代表人：（签字或签章）</w:t>
      </w:r>
    </w:p>
    <w:p w14:paraId="2052FDE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代理人</w:t>
      </w:r>
      <w:r>
        <w:rPr>
          <w:rFonts w:hint="eastAsia" w:ascii="宋体" w:hAnsi="宋体" w:eastAsia="宋体" w:cs="宋体"/>
          <w:color w:val="auto"/>
          <w:sz w:val="24"/>
          <w:szCs w:val="24"/>
          <w:highlight w:val="none"/>
        </w:rPr>
        <w:t>：（签字或签章）</w:t>
      </w:r>
    </w:p>
    <w:p w14:paraId="5283BF67">
      <w:pPr>
        <w:spacing w:line="360" w:lineRule="auto"/>
        <w:ind w:firstLine="425"/>
        <w:rPr>
          <w:rFonts w:hint="eastAsia" w:ascii="宋体" w:hAnsi="宋体" w:eastAsia="宋体" w:cs="宋体"/>
          <w:color w:val="auto"/>
          <w:sz w:val="24"/>
          <w:szCs w:val="24"/>
          <w:highlight w:val="none"/>
        </w:rPr>
      </w:pPr>
    </w:p>
    <w:p w14:paraId="5C63E6FD">
      <w:pPr>
        <w:spacing w:line="360" w:lineRule="auto"/>
        <w:ind w:firstLine="425"/>
        <w:jc w:val="right"/>
        <w:rPr>
          <w:rFonts w:hint="eastAsia" w:ascii="宋体" w:hAnsi="宋体" w:eastAsia="宋体" w:cs="宋体"/>
          <w:color w:val="auto"/>
          <w:sz w:val="24"/>
          <w:szCs w:val="24"/>
          <w:highlight w:val="none"/>
          <w:lang w:val="zh-CN"/>
        </w:rPr>
      </w:pPr>
    </w:p>
    <w:p w14:paraId="3DD03D3E">
      <w:pPr>
        <w:spacing w:line="360" w:lineRule="auto"/>
        <w:ind w:firstLine="425"/>
        <w:jc w:val="right"/>
        <w:rPr>
          <w:rFonts w:hint="eastAsia" w:ascii="宋体" w:hAnsi="宋体" w:eastAsia="宋体" w:cs="宋体"/>
          <w:color w:val="auto"/>
          <w:sz w:val="24"/>
          <w:szCs w:val="24"/>
          <w:highlight w:val="none"/>
          <w:lang w:val="zh-CN"/>
        </w:rPr>
      </w:pPr>
    </w:p>
    <w:p w14:paraId="33E38661">
      <w:pPr>
        <w:spacing w:line="360" w:lineRule="auto"/>
        <w:ind w:firstLine="425"/>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日期：        年     月     日</w:t>
      </w:r>
    </w:p>
    <w:p w14:paraId="47293FF5">
      <w:pPr>
        <w:spacing w:line="360" w:lineRule="auto"/>
        <w:rPr>
          <w:rFonts w:hint="eastAsia" w:ascii="宋体" w:hAnsi="宋体" w:eastAsia="宋体" w:cs="宋体"/>
          <w:color w:val="auto"/>
          <w:sz w:val="24"/>
          <w:szCs w:val="24"/>
          <w:highlight w:val="none"/>
          <w:lang w:val="zh-CN"/>
        </w:rPr>
      </w:pPr>
    </w:p>
    <w:p w14:paraId="38F19802">
      <w:pPr>
        <w:pStyle w:val="4"/>
        <w:spacing w:line="420" w:lineRule="exact"/>
        <w:rPr>
          <w:rFonts w:hint="eastAsia" w:ascii="宋体" w:hAnsi="宋体" w:eastAsia="宋体" w:cs="宋体"/>
          <w:bCs/>
          <w:color w:val="auto"/>
          <w:sz w:val="24"/>
          <w:szCs w:val="24"/>
          <w:highlight w:val="none"/>
          <w:lang w:val="zh-CN"/>
        </w:rPr>
      </w:pPr>
    </w:p>
    <w:p w14:paraId="740D2395">
      <w:pPr>
        <w:pStyle w:val="4"/>
        <w:spacing w:line="420" w:lineRule="exact"/>
        <w:rPr>
          <w:rFonts w:hint="eastAsia" w:ascii="宋体" w:hAnsi="宋体" w:eastAsia="宋体" w:cs="宋体"/>
          <w:bCs/>
          <w:color w:val="auto"/>
          <w:sz w:val="24"/>
          <w:szCs w:val="24"/>
          <w:highlight w:val="none"/>
          <w:lang w:val="zh-CN"/>
        </w:rPr>
      </w:pPr>
    </w:p>
    <w:p w14:paraId="7817E9AF">
      <w:pPr>
        <w:spacing w:line="400" w:lineRule="exact"/>
        <w:rPr>
          <w:rFonts w:hint="eastAsia" w:ascii="宋体" w:hAnsi="宋体" w:eastAsia="宋体" w:cs="宋体"/>
          <w:b/>
          <w:bCs/>
          <w:color w:val="auto"/>
          <w:sz w:val="24"/>
          <w:szCs w:val="24"/>
          <w:highlight w:val="none"/>
          <w:lang w:val="zh-CN"/>
        </w:rPr>
      </w:pPr>
    </w:p>
    <w:p w14:paraId="6A8CDBBF">
      <w:pPr>
        <w:spacing w:line="400" w:lineRule="exact"/>
        <w:rPr>
          <w:rFonts w:hint="eastAsia" w:ascii="宋体" w:hAnsi="宋体" w:eastAsia="宋体" w:cs="宋体"/>
          <w:b/>
          <w:bCs/>
          <w:color w:val="auto"/>
          <w:sz w:val="24"/>
          <w:szCs w:val="24"/>
          <w:highlight w:val="none"/>
          <w:lang w:val="zh-CN"/>
        </w:rPr>
      </w:pPr>
    </w:p>
    <w:p w14:paraId="16D35E6E">
      <w:pPr>
        <w:spacing w:line="400" w:lineRule="exact"/>
        <w:rPr>
          <w:rFonts w:hint="eastAsia" w:ascii="宋体" w:hAnsi="宋体" w:eastAsia="宋体" w:cs="宋体"/>
          <w:b/>
          <w:bCs/>
          <w:color w:val="auto"/>
          <w:sz w:val="24"/>
          <w:szCs w:val="24"/>
          <w:highlight w:val="none"/>
          <w:lang w:val="zh-CN"/>
        </w:rPr>
      </w:pPr>
    </w:p>
    <w:p w14:paraId="42A6A9F6">
      <w:pP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br w:type="page" w:clear="all"/>
      </w:r>
    </w:p>
    <w:p w14:paraId="05F9E358">
      <w:pP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格式3：</w:t>
      </w:r>
      <w:r>
        <w:rPr>
          <w:rFonts w:hint="eastAsia" w:ascii="宋体" w:hAnsi="宋体" w:eastAsia="宋体" w:cs="宋体"/>
          <w:b/>
          <w:bCs/>
          <w:color w:val="auto"/>
          <w:sz w:val="24"/>
          <w:szCs w:val="24"/>
          <w:highlight w:val="none"/>
          <w:lang w:val="zh-CN"/>
        </w:rPr>
        <w:t>磋商报价表</w:t>
      </w:r>
    </w:p>
    <w:p w14:paraId="6E645530">
      <w:pPr>
        <w:pStyle w:val="253"/>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磋商报价表</w:t>
      </w:r>
    </w:p>
    <w:p w14:paraId="1ED437BF">
      <w:pPr>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bl>
      <w:tblPr>
        <w:tblStyle w:val="6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8"/>
        <w:gridCol w:w="6352"/>
      </w:tblGrid>
      <w:tr w14:paraId="551EE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3028" w:type="dxa"/>
            <w:noWrap w:val="0"/>
            <w:vAlign w:val="center"/>
          </w:tcPr>
          <w:p w14:paraId="60324992">
            <w:pPr>
              <w:widowControl/>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项目名称</w:t>
            </w:r>
          </w:p>
        </w:tc>
        <w:tc>
          <w:tcPr>
            <w:tcW w:w="6352" w:type="dxa"/>
            <w:noWrap w:val="0"/>
            <w:vAlign w:val="center"/>
          </w:tcPr>
          <w:p w14:paraId="69B6F3A2">
            <w:pPr>
              <w:widowControl/>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w:t>
            </w:r>
          </w:p>
        </w:tc>
      </w:tr>
      <w:tr w14:paraId="18F51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3028" w:type="dxa"/>
            <w:noWrap w:val="0"/>
            <w:vAlign w:val="center"/>
          </w:tcPr>
          <w:p w14:paraId="3298A469">
            <w:pPr>
              <w:widowControl/>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项目编号</w:t>
            </w:r>
          </w:p>
        </w:tc>
        <w:tc>
          <w:tcPr>
            <w:tcW w:w="6352" w:type="dxa"/>
            <w:noWrap w:val="0"/>
            <w:vAlign w:val="center"/>
          </w:tcPr>
          <w:p w14:paraId="32DDE117">
            <w:pPr>
              <w:widowControl/>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w:t>
            </w:r>
          </w:p>
        </w:tc>
      </w:tr>
      <w:tr w14:paraId="69BFB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3028" w:type="dxa"/>
            <w:noWrap w:val="0"/>
            <w:vAlign w:val="center"/>
          </w:tcPr>
          <w:p w14:paraId="03686CCC">
            <w:pPr>
              <w:widowControl/>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项目服务期限</w:t>
            </w:r>
          </w:p>
        </w:tc>
        <w:tc>
          <w:tcPr>
            <w:tcW w:w="6352" w:type="dxa"/>
            <w:noWrap w:val="0"/>
            <w:vAlign w:val="center"/>
          </w:tcPr>
          <w:p w14:paraId="7C968B19">
            <w:pPr>
              <w:widowControl/>
              <w:jc w:val="left"/>
              <w:rPr>
                <w:rFonts w:hint="eastAsia" w:ascii="宋体" w:hAnsi="宋体" w:eastAsia="宋体" w:cs="宋体"/>
                <w:bCs/>
                <w:color w:val="auto"/>
                <w:sz w:val="24"/>
                <w:szCs w:val="24"/>
                <w:highlight w:val="none"/>
                <w:lang w:val="zh-CN"/>
              </w:rPr>
            </w:pPr>
          </w:p>
        </w:tc>
      </w:tr>
      <w:tr w14:paraId="39607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3028" w:type="dxa"/>
            <w:noWrap w:val="0"/>
            <w:vAlign w:val="center"/>
          </w:tcPr>
          <w:p w14:paraId="2F62A6A0">
            <w:pPr>
              <w:widowControl/>
              <w:jc w:val="left"/>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lang w:eastAsia="zh-CN"/>
              </w:rPr>
              <w:t>）</w:t>
            </w:r>
          </w:p>
        </w:tc>
        <w:tc>
          <w:tcPr>
            <w:tcW w:w="6352" w:type="dxa"/>
            <w:noWrap w:val="0"/>
            <w:vAlign w:val="center"/>
          </w:tcPr>
          <w:p w14:paraId="7079AFB1">
            <w:pPr>
              <w:widowControl/>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            </w:t>
            </w:r>
          </w:p>
        </w:tc>
      </w:tr>
    </w:tbl>
    <w:p w14:paraId="5B558E76">
      <w:pPr>
        <w:ind w:firstLine="632"/>
        <w:rPr>
          <w:rFonts w:hint="eastAsia" w:ascii="宋体" w:hAnsi="宋体" w:eastAsia="宋体" w:cs="宋体"/>
          <w:b/>
          <w:color w:val="auto"/>
          <w:sz w:val="24"/>
          <w:szCs w:val="24"/>
          <w:highlight w:val="none"/>
        </w:rPr>
      </w:pPr>
    </w:p>
    <w:p w14:paraId="5ED92226">
      <w:pPr>
        <w:widowControl/>
        <w:autoSpaceDE w:val="0"/>
        <w:autoSpaceDN w:val="0"/>
        <w:adjustRightInd w:val="0"/>
        <w:spacing w:line="360" w:lineRule="auto"/>
        <w:ind w:firstLine="448" w:firstLineChars="187"/>
        <w:jc w:val="left"/>
        <w:rPr>
          <w:rFonts w:hint="eastAsia" w:ascii="宋体" w:hAnsi="宋体" w:eastAsia="宋体" w:cs="宋体"/>
          <w:color w:val="auto"/>
          <w:sz w:val="24"/>
          <w:szCs w:val="24"/>
          <w:highlight w:val="none"/>
          <w:lang w:val="zh-CN"/>
        </w:rPr>
      </w:pPr>
      <w:bookmarkStart w:id="33" w:name="_Hlk38573144"/>
    </w:p>
    <w:p w14:paraId="703784E5">
      <w:pPr>
        <w:widowControl/>
        <w:autoSpaceDE w:val="0"/>
        <w:autoSpaceDN w:val="0"/>
        <w:adjustRightInd w:val="0"/>
        <w:spacing w:line="360" w:lineRule="auto"/>
        <w:ind w:firstLine="448" w:firstLineChars="187"/>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投标单位（公章）：</w:t>
      </w:r>
    </w:p>
    <w:p w14:paraId="5329B559">
      <w:pPr>
        <w:widowControl/>
        <w:autoSpaceDE w:val="0"/>
        <w:autoSpaceDN w:val="0"/>
        <w:adjustRightInd w:val="0"/>
        <w:spacing w:line="360" w:lineRule="auto"/>
        <w:ind w:firstLine="448" w:firstLineChars="187"/>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法定代表人或授权委托人：（签字或签章）</w:t>
      </w:r>
    </w:p>
    <w:p w14:paraId="0242A313">
      <w:pPr>
        <w:widowControl/>
        <w:autoSpaceDE w:val="0"/>
        <w:autoSpaceDN w:val="0"/>
        <w:adjustRightInd w:val="0"/>
        <w:spacing w:line="360" w:lineRule="auto"/>
        <w:ind w:firstLine="448" w:firstLineChars="187"/>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日</w:t>
      </w:r>
      <w:bookmarkEnd w:id="33"/>
    </w:p>
    <w:p w14:paraId="5F93FA64">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br w:type="page" w:clear="all"/>
      </w:r>
    </w:p>
    <w:p w14:paraId="79892730">
      <w:pPr>
        <w:rPr>
          <w:rFonts w:hint="eastAsia" w:ascii="宋体" w:hAnsi="宋体" w:eastAsia="宋体" w:cs="宋体"/>
          <w:b/>
          <w:bCs/>
          <w:color w:val="auto"/>
          <w:sz w:val="24"/>
          <w:szCs w:val="24"/>
          <w:highlight w:val="none"/>
        </w:rPr>
      </w:pPr>
    </w:p>
    <w:p w14:paraId="198BD460">
      <w:pPr>
        <w:tabs>
          <w:tab w:val="left" w:pos="1320"/>
        </w:tabs>
        <w:spacing w:line="400" w:lineRule="exact"/>
        <w:ind w:left="741" w:hanging="741"/>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格式4</w:t>
      </w:r>
      <w:r>
        <w:rPr>
          <w:rFonts w:hint="eastAsia" w:ascii="宋体" w:hAnsi="宋体" w:eastAsia="宋体" w:cs="宋体"/>
          <w:b/>
          <w:color w:val="auto"/>
          <w:sz w:val="24"/>
          <w:szCs w:val="24"/>
          <w:highlight w:val="none"/>
        </w:rPr>
        <w:t>、磋商</w:t>
      </w:r>
      <w:r>
        <w:rPr>
          <w:rFonts w:hint="eastAsia" w:ascii="宋体" w:hAnsi="宋体" w:eastAsia="宋体" w:cs="宋体"/>
          <w:b/>
          <w:bCs/>
          <w:color w:val="auto"/>
          <w:sz w:val="24"/>
          <w:szCs w:val="24"/>
          <w:highlight w:val="none"/>
          <w:lang w:val="zh-CN"/>
        </w:rPr>
        <w:t>报价</w:t>
      </w:r>
      <w:r>
        <w:rPr>
          <w:rFonts w:hint="eastAsia" w:ascii="宋体" w:hAnsi="宋体" w:eastAsia="宋体" w:cs="宋体"/>
          <w:b/>
          <w:bCs/>
          <w:color w:val="auto"/>
          <w:sz w:val="24"/>
          <w:szCs w:val="24"/>
          <w:highlight w:val="none"/>
        </w:rPr>
        <w:t>明细</w:t>
      </w:r>
      <w:r>
        <w:rPr>
          <w:rFonts w:hint="eastAsia" w:ascii="宋体" w:hAnsi="宋体" w:eastAsia="宋体" w:cs="宋体"/>
          <w:b/>
          <w:bCs/>
          <w:color w:val="auto"/>
          <w:sz w:val="24"/>
          <w:szCs w:val="24"/>
          <w:highlight w:val="none"/>
          <w:lang w:val="zh-CN"/>
        </w:rPr>
        <w:t>表</w:t>
      </w:r>
    </w:p>
    <w:p w14:paraId="3A73CD0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磋商报价明细表</w:t>
      </w:r>
    </w:p>
    <w:p w14:paraId="3105AE6E">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采购编号：</w:t>
      </w:r>
    </w:p>
    <w:tbl>
      <w:tblPr>
        <w:tblStyle w:val="66"/>
        <w:tblW w:w="97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9"/>
        <w:gridCol w:w="1423"/>
        <w:gridCol w:w="2112"/>
        <w:gridCol w:w="1296"/>
        <w:gridCol w:w="1140"/>
        <w:gridCol w:w="1704"/>
        <w:gridCol w:w="1356"/>
      </w:tblGrid>
      <w:tr w14:paraId="3FA09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6C69B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序号</w:t>
            </w:r>
          </w:p>
        </w:tc>
        <w:tc>
          <w:tcPr>
            <w:tcW w:w="142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91A52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货物名称</w:t>
            </w:r>
          </w:p>
        </w:tc>
        <w:tc>
          <w:tcPr>
            <w:tcW w:w="21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7253F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参数特征</w:t>
            </w:r>
          </w:p>
        </w:tc>
        <w:tc>
          <w:tcPr>
            <w:tcW w:w="12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25034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单位</w:t>
            </w:r>
          </w:p>
        </w:tc>
        <w:tc>
          <w:tcPr>
            <w:tcW w:w="11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820F9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数量</w:t>
            </w:r>
          </w:p>
        </w:tc>
        <w:tc>
          <w:tcPr>
            <w:tcW w:w="17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6FE39B">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单价（元）</w:t>
            </w:r>
          </w:p>
        </w:tc>
        <w:tc>
          <w:tcPr>
            <w:tcW w:w="13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B304E1">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合价（元）</w:t>
            </w:r>
          </w:p>
        </w:tc>
      </w:tr>
      <w:tr w14:paraId="0A22E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316DA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09E4F1">
            <w:pPr>
              <w:keepNext w:val="0"/>
              <w:keepLines w:val="0"/>
              <w:widowControl/>
              <w:suppressLineNumbers w:val="0"/>
              <w:jc w:val="left"/>
              <w:rPr>
                <w:rFonts w:hint="eastAsia" w:ascii="宋体" w:hAnsi="宋体" w:eastAsia="宋体" w:cs="宋体"/>
                <w:i w:val="0"/>
                <w:iCs w:val="0"/>
                <w:color w:val="auto"/>
                <w:sz w:val="24"/>
                <w:szCs w:val="24"/>
                <w:highlight w:val="none"/>
                <w:u w:val="none"/>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A9A96">
            <w:pPr>
              <w:keepNext w:val="0"/>
              <w:keepLines w:val="0"/>
              <w:widowControl/>
              <w:suppressLineNumbers w:val="0"/>
              <w:jc w:val="left"/>
              <w:rPr>
                <w:rFonts w:hint="eastAsia" w:ascii="宋体" w:hAnsi="宋体" w:eastAsia="宋体" w:cs="宋体"/>
                <w:i w:val="0"/>
                <w:iCs w:val="0"/>
                <w:color w:val="auto"/>
                <w:sz w:val="24"/>
                <w:szCs w:val="24"/>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370D16">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C151F1">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50C397">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343A6">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35C73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C79B6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C1E9E0">
            <w:pPr>
              <w:keepNext w:val="0"/>
              <w:keepLines w:val="0"/>
              <w:widowControl/>
              <w:suppressLineNumbers w:val="0"/>
              <w:jc w:val="left"/>
              <w:rPr>
                <w:rFonts w:hint="eastAsia" w:ascii="宋体" w:hAnsi="宋体" w:eastAsia="宋体" w:cs="宋体"/>
                <w:i w:val="0"/>
                <w:iCs w:val="0"/>
                <w:color w:val="auto"/>
                <w:sz w:val="24"/>
                <w:szCs w:val="24"/>
                <w:highlight w:val="none"/>
                <w:u w:val="none"/>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FD299">
            <w:pPr>
              <w:keepNext w:val="0"/>
              <w:keepLines w:val="0"/>
              <w:widowControl/>
              <w:suppressLineNumbers w:val="0"/>
              <w:jc w:val="left"/>
              <w:rPr>
                <w:rFonts w:hint="eastAsia" w:ascii="宋体" w:hAnsi="宋体" w:eastAsia="宋体" w:cs="宋体"/>
                <w:i w:val="0"/>
                <w:iCs w:val="0"/>
                <w:color w:val="auto"/>
                <w:sz w:val="24"/>
                <w:szCs w:val="24"/>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F3EC64">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C518E2">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2F647">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764C6C">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45BB0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26481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CCE706">
            <w:pPr>
              <w:keepNext w:val="0"/>
              <w:keepLines w:val="0"/>
              <w:widowControl/>
              <w:suppressLineNumbers w:val="0"/>
              <w:jc w:val="left"/>
              <w:rPr>
                <w:rFonts w:hint="eastAsia" w:ascii="宋体" w:hAnsi="宋体" w:eastAsia="宋体" w:cs="宋体"/>
                <w:i w:val="0"/>
                <w:iCs w:val="0"/>
                <w:color w:val="auto"/>
                <w:sz w:val="24"/>
                <w:szCs w:val="24"/>
                <w:highlight w:val="none"/>
                <w:u w:val="none"/>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77B7E2">
            <w:pPr>
              <w:keepNext w:val="0"/>
              <w:keepLines w:val="0"/>
              <w:widowControl/>
              <w:suppressLineNumbers w:val="0"/>
              <w:jc w:val="left"/>
              <w:rPr>
                <w:rFonts w:hint="eastAsia" w:ascii="宋体" w:hAnsi="宋体" w:eastAsia="宋体" w:cs="宋体"/>
                <w:i w:val="0"/>
                <w:iCs w:val="0"/>
                <w:color w:val="auto"/>
                <w:sz w:val="24"/>
                <w:szCs w:val="24"/>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544F14">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87DDB1">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D0BB34">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2A5927">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50463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FA324E">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23B3DD">
            <w:pPr>
              <w:keepNext w:val="0"/>
              <w:keepLines w:val="0"/>
              <w:widowControl/>
              <w:suppressLineNumbers w:val="0"/>
              <w:jc w:val="left"/>
              <w:rPr>
                <w:rFonts w:hint="eastAsia" w:ascii="宋体" w:hAnsi="宋体" w:eastAsia="宋体" w:cs="宋体"/>
                <w:i w:val="0"/>
                <w:iCs w:val="0"/>
                <w:color w:val="auto"/>
                <w:sz w:val="24"/>
                <w:szCs w:val="24"/>
                <w:highlight w:val="none"/>
                <w:u w:val="none"/>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837C36">
            <w:pPr>
              <w:keepNext w:val="0"/>
              <w:keepLines w:val="0"/>
              <w:widowControl/>
              <w:suppressLineNumbers w:val="0"/>
              <w:jc w:val="left"/>
              <w:rPr>
                <w:rFonts w:hint="eastAsia" w:ascii="宋体" w:hAnsi="宋体" w:eastAsia="宋体" w:cs="宋体"/>
                <w:i w:val="0"/>
                <w:iCs w:val="0"/>
                <w:color w:val="auto"/>
                <w:sz w:val="24"/>
                <w:szCs w:val="24"/>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3E0C90">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EF9FE9">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F2B7FD">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ADE82">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17C1A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740" w:type="dxa"/>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C502C">
            <w:pPr>
              <w:keepNext w:val="0"/>
              <w:keepLines w:val="0"/>
              <w:widowControl/>
              <w:suppressLineNumbers w:val="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合计：</w:t>
            </w:r>
          </w:p>
        </w:tc>
      </w:tr>
    </w:tbl>
    <w:p w14:paraId="294049B7">
      <w:pPr>
        <w:widowControl w:val="0"/>
        <w:spacing w:line="360" w:lineRule="auto"/>
        <w:ind w:firstLine="735"/>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p>
    <w:p w14:paraId="1FA7A1EA">
      <w:pPr>
        <w:widowControl w:val="0"/>
        <w:spacing w:line="360" w:lineRule="auto"/>
        <w:ind w:firstLine="42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eastAsia="zh-CN"/>
        </w:rPr>
        <w:t>注：</w:t>
      </w:r>
      <w:r>
        <w:rPr>
          <w:rFonts w:hint="eastAsia" w:ascii="宋体" w:hAnsi="宋体" w:eastAsia="宋体" w:cs="宋体"/>
          <w:color w:val="auto"/>
          <w:sz w:val="24"/>
          <w:szCs w:val="24"/>
          <w:highlight w:val="none"/>
          <w:lang w:val="en-US" w:eastAsia="zh-CN"/>
        </w:rPr>
        <w:t>1.总价金额</w:t>
      </w:r>
      <w:r>
        <w:rPr>
          <w:rFonts w:hint="eastAsia" w:ascii="宋体" w:hAnsi="宋体" w:eastAsia="宋体" w:cs="宋体"/>
          <w:b w:val="0"/>
          <w:bCs w:val="0"/>
          <w:color w:val="auto"/>
          <w:sz w:val="24"/>
          <w:szCs w:val="24"/>
          <w:highlight w:val="none"/>
          <w:lang w:eastAsia="zh-CN"/>
        </w:rPr>
        <w:t>须与</w:t>
      </w:r>
      <w:r>
        <w:rPr>
          <w:rFonts w:hint="eastAsia" w:ascii="宋体" w:hAnsi="宋体" w:eastAsia="宋体" w:cs="宋体"/>
          <w:b w:val="0"/>
          <w:bCs w:val="0"/>
          <w:color w:val="auto"/>
          <w:sz w:val="24"/>
          <w:szCs w:val="24"/>
          <w:highlight w:val="none"/>
        </w:rPr>
        <w:t>开标一览表投标报价</w:t>
      </w:r>
      <w:r>
        <w:rPr>
          <w:rFonts w:hint="eastAsia" w:ascii="宋体" w:hAnsi="宋体" w:eastAsia="宋体" w:cs="宋体"/>
          <w:b w:val="0"/>
          <w:bCs w:val="0"/>
          <w:color w:val="auto"/>
          <w:sz w:val="24"/>
          <w:szCs w:val="24"/>
          <w:highlight w:val="none"/>
          <w:lang w:eastAsia="zh-CN"/>
        </w:rPr>
        <w:t>一致。</w:t>
      </w:r>
    </w:p>
    <w:p w14:paraId="12E3BA19">
      <w:pPr>
        <w:pStyle w:val="65"/>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2.单价应为全费用综合单价，包含人工、材料、机械、管理、措施、维护、税金等费用。</w:t>
      </w:r>
    </w:p>
    <w:p w14:paraId="2AB0CB9F">
      <w:pPr>
        <w:spacing w:line="360" w:lineRule="auto"/>
        <w:ind w:firstLine="480"/>
        <w:rPr>
          <w:rFonts w:hint="eastAsia" w:ascii="宋体" w:hAnsi="宋体" w:eastAsia="宋体" w:cs="宋体"/>
          <w:bCs/>
          <w:color w:val="auto"/>
          <w:sz w:val="24"/>
          <w:szCs w:val="24"/>
          <w:highlight w:val="none"/>
          <w:lang w:val="zh-CN"/>
        </w:rPr>
      </w:pPr>
    </w:p>
    <w:p w14:paraId="08E0CA66">
      <w:pPr>
        <w:spacing w:line="360" w:lineRule="auto"/>
        <w:ind w:firstLine="480"/>
        <w:rPr>
          <w:rFonts w:hint="eastAsia" w:ascii="宋体" w:hAnsi="宋体" w:eastAsia="宋体" w:cs="宋体"/>
          <w:bCs/>
          <w:color w:val="auto"/>
          <w:sz w:val="24"/>
          <w:szCs w:val="24"/>
          <w:highlight w:val="none"/>
          <w:lang w:val="zh-CN"/>
        </w:rPr>
      </w:pPr>
    </w:p>
    <w:p w14:paraId="4DFC94EC">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4F10AB2A">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p>
    <w:p w14:paraId="06D9EDC9">
      <w:pPr>
        <w:keepNext w:val="0"/>
        <w:keepLines w:val="0"/>
        <w:pageBreakBefore w:val="0"/>
        <w:widowControl w:val="0"/>
        <w:spacing w:line="360" w:lineRule="auto"/>
        <w:ind w:firstLine="482"/>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投标日期：年月日</w:t>
      </w:r>
    </w:p>
    <w:p w14:paraId="2F6D421B">
      <w:pPr>
        <w:tabs>
          <w:tab w:val="left" w:pos="1320"/>
        </w:tabs>
        <w:spacing w:line="400" w:lineRule="exact"/>
        <w:ind w:firstLine="560"/>
        <w:rPr>
          <w:rFonts w:hint="eastAsia" w:ascii="宋体" w:hAnsi="宋体" w:eastAsia="宋体" w:cs="宋体"/>
          <w:color w:val="auto"/>
          <w:sz w:val="28"/>
          <w:szCs w:val="21"/>
          <w:highlight w:val="none"/>
        </w:rPr>
      </w:pPr>
    </w:p>
    <w:p w14:paraId="49E8EB10">
      <w:pPr>
        <w:rPr>
          <w:rFonts w:hint="eastAsia" w:ascii="宋体" w:hAnsi="宋体" w:eastAsia="宋体" w:cs="宋体"/>
          <w:bCs/>
          <w:color w:val="auto"/>
          <w:sz w:val="24"/>
          <w:szCs w:val="24"/>
          <w:highlight w:val="none"/>
        </w:rPr>
      </w:pPr>
    </w:p>
    <w:p w14:paraId="419754A8">
      <w:pPr>
        <w:rPr>
          <w:rFonts w:hint="eastAsia" w:ascii="宋体" w:hAnsi="宋体" w:eastAsia="宋体" w:cs="宋体"/>
          <w:bCs/>
          <w:color w:val="auto"/>
          <w:sz w:val="24"/>
          <w:szCs w:val="24"/>
          <w:highlight w:val="none"/>
        </w:rPr>
      </w:pPr>
    </w:p>
    <w:p w14:paraId="61D07737">
      <w:pPr>
        <w:rPr>
          <w:rFonts w:hint="eastAsia" w:ascii="宋体" w:hAnsi="宋体" w:eastAsia="宋体" w:cs="宋体"/>
          <w:bCs/>
          <w:color w:val="auto"/>
          <w:sz w:val="24"/>
          <w:szCs w:val="24"/>
          <w:highlight w:val="none"/>
        </w:rPr>
      </w:pPr>
    </w:p>
    <w:p w14:paraId="4D4BB957">
      <w:pPr>
        <w:rPr>
          <w:rFonts w:hint="eastAsia" w:ascii="宋体" w:hAnsi="宋体" w:eastAsia="宋体" w:cs="宋体"/>
          <w:bCs/>
          <w:color w:val="auto"/>
          <w:sz w:val="24"/>
          <w:szCs w:val="24"/>
          <w:highlight w:val="none"/>
        </w:rPr>
      </w:pPr>
    </w:p>
    <w:p w14:paraId="04876A57">
      <w:pPr>
        <w:rPr>
          <w:rFonts w:hint="eastAsia" w:ascii="宋体" w:hAnsi="宋体" w:eastAsia="宋体" w:cs="宋体"/>
          <w:bCs/>
          <w:color w:val="auto"/>
          <w:sz w:val="24"/>
          <w:szCs w:val="24"/>
          <w:highlight w:val="none"/>
        </w:rPr>
      </w:pPr>
    </w:p>
    <w:p w14:paraId="298DE170">
      <w:pPr>
        <w:rPr>
          <w:rFonts w:hint="eastAsia" w:ascii="宋体" w:hAnsi="宋体" w:eastAsia="宋体" w:cs="宋体"/>
          <w:bCs/>
          <w:color w:val="auto"/>
          <w:sz w:val="24"/>
          <w:szCs w:val="24"/>
          <w:highlight w:val="none"/>
        </w:rPr>
      </w:pPr>
    </w:p>
    <w:p w14:paraId="5B0566D8">
      <w:pPr>
        <w:rPr>
          <w:rFonts w:hint="eastAsia" w:ascii="宋体" w:hAnsi="宋体" w:eastAsia="宋体" w:cs="宋体"/>
          <w:bCs/>
          <w:color w:val="auto"/>
          <w:sz w:val="24"/>
          <w:szCs w:val="24"/>
          <w:highlight w:val="none"/>
        </w:rPr>
      </w:pPr>
    </w:p>
    <w:p w14:paraId="4A45319E">
      <w:pPr>
        <w:rPr>
          <w:rFonts w:hint="eastAsia" w:ascii="宋体" w:hAnsi="宋体" w:eastAsia="宋体" w:cs="宋体"/>
          <w:bCs/>
          <w:color w:val="auto"/>
          <w:sz w:val="24"/>
          <w:szCs w:val="24"/>
          <w:highlight w:val="none"/>
        </w:rPr>
      </w:pPr>
    </w:p>
    <w:p w14:paraId="0F4E1096">
      <w:pPr>
        <w:rPr>
          <w:rFonts w:hint="eastAsia" w:ascii="宋体" w:hAnsi="宋体" w:eastAsia="宋体" w:cs="宋体"/>
          <w:bCs/>
          <w:color w:val="auto"/>
          <w:sz w:val="24"/>
          <w:szCs w:val="24"/>
          <w:highlight w:val="none"/>
        </w:rPr>
      </w:pPr>
    </w:p>
    <w:p w14:paraId="097BB730">
      <w:pPr>
        <w:rPr>
          <w:rFonts w:hint="eastAsia" w:ascii="宋体" w:hAnsi="宋体" w:eastAsia="宋体" w:cs="宋体"/>
          <w:bCs/>
          <w:color w:val="auto"/>
          <w:sz w:val="24"/>
          <w:szCs w:val="24"/>
          <w:highlight w:val="none"/>
        </w:rPr>
      </w:pPr>
    </w:p>
    <w:p w14:paraId="43A777A3">
      <w:pPr>
        <w:rPr>
          <w:rFonts w:hint="eastAsia" w:ascii="宋体" w:hAnsi="宋体" w:eastAsia="宋体" w:cs="宋体"/>
          <w:bCs/>
          <w:color w:val="auto"/>
          <w:sz w:val="24"/>
          <w:szCs w:val="24"/>
          <w:highlight w:val="none"/>
        </w:rPr>
      </w:pPr>
    </w:p>
    <w:p w14:paraId="54D3368F">
      <w:pPr>
        <w:rPr>
          <w:rFonts w:hint="eastAsia" w:ascii="宋体" w:hAnsi="宋体" w:eastAsia="宋体" w:cs="宋体"/>
          <w:bCs/>
          <w:color w:val="auto"/>
          <w:sz w:val="24"/>
          <w:szCs w:val="24"/>
          <w:highlight w:val="none"/>
        </w:rPr>
      </w:pPr>
    </w:p>
    <w:p w14:paraId="0A000D30">
      <w:pPr>
        <w:rPr>
          <w:rFonts w:hint="eastAsia" w:ascii="宋体" w:hAnsi="宋体" w:eastAsia="宋体" w:cs="宋体"/>
          <w:bCs/>
          <w:color w:val="auto"/>
          <w:sz w:val="24"/>
          <w:szCs w:val="24"/>
          <w:highlight w:val="none"/>
        </w:rPr>
      </w:pPr>
    </w:p>
    <w:p w14:paraId="4A56CA3A">
      <w:pPr>
        <w:rPr>
          <w:rFonts w:hint="eastAsia" w:ascii="宋体" w:hAnsi="宋体" w:eastAsia="宋体" w:cs="宋体"/>
          <w:bCs/>
          <w:color w:val="auto"/>
          <w:sz w:val="24"/>
          <w:szCs w:val="24"/>
          <w:highlight w:val="none"/>
        </w:rPr>
      </w:pPr>
    </w:p>
    <w:p w14:paraId="74B4AF37">
      <w:pPr>
        <w:rPr>
          <w:rFonts w:hint="eastAsia" w:ascii="宋体" w:hAnsi="宋体" w:eastAsia="宋体" w:cs="宋体"/>
          <w:bCs/>
          <w:color w:val="auto"/>
          <w:sz w:val="24"/>
          <w:szCs w:val="24"/>
          <w:highlight w:val="none"/>
        </w:rPr>
      </w:pPr>
    </w:p>
    <w:p w14:paraId="2AD06E70">
      <w:pPr>
        <w:rPr>
          <w:rFonts w:hint="eastAsia" w:ascii="宋体" w:hAnsi="宋体" w:eastAsia="宋体" w:cs="宋体"/>
          <w:bCs/>
          <w:color w:val="auto"/>
          <w:sz w:val="24"/>
          <w:szCs w:val="24"/>
          <w:highlight w:val="none"/>
        </w:rPr>
      </w:pPr>
    </w:p>
    <w:p w14:paraId="2F16349E">
      <w:pPr>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格式</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w:t>
      </w:r>
      <w:r>
        <w:rPr>
          <w:rFonts w:hint="eastAsia" w:ascii="宋体" w:hAnsi="宋体" w:eastAsia="宋体" w:cs="宋体"/>
          <w:b/>
          <w:bCs/>
          <w:color w:val="auto"/>
          <w:sz w:val="24"/>
          <w:szCs w:val="24"/>
          <w:highlight w:val="none"/>
        </w:rPr>
        <w:t>技术（服务）要求偏离表</w:t>
      </w:r>
    </w:p>
    <w:p w14:paraId="43E48FAB">
      <w:pPr>
        <w:ind w:firstLine="432"/>
        <w:rPr>
          <w:rFonts w:hint="eastAsia" w:ascii="宋体" w:hAnsi="宋体" w:eastAsia="宋体" w:cs="宋体"/>
          <w:b/>
          <w:color w:val="auto"/>
          <w:sz w:val="24"/>
          <w:szCs w:val="24"/>
          <w:highlight w:val="none"/>
        </w:rPr>
      </w:pPr>
    </w:p>
    <w:p w14:paraId="15BBF5DE">
      <w:pPr>
        <w:pStyle w:val="253"/>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技术（服务）要求偏离表</w:t>
      </w:r>
    </w:p>
    <w:p w14:paraId="17396559">
      <w:pPr>
        <w:spacing w:line="380" w:lineRule="exact"/>
        <w:ind w:firstLine="600"/>
        <w:rPr>
          <w:rFonts w:hint="eastAsia" w:ascii="宋体" w:hAnsi="宋体" w:eastAsia="宋体" w:cs="宋体"/>
          <w:b/>
          <w:color w:val="auto"/>
          <w:spacing w:val="20"/>
          <w:sz w:val="24"/>
          <w:szCs w:val="24"/>
          <w:highlight w:val="none"/>
          <w:lang w:eastAsia="zh-CN"/>
        </w:rPr>
      </w:pPr>
      <w:r>
        <w:rPr>
          <w:rFonts w:hint="eastAsia" w:ascii="宋体" w:hAnsi="宋体" w:eastAsia="宋体" w:cs="宋体"/>
          <w:color w:val="auto"/>
          <w:sz w:val="24"/>
          <w:szCs w:val="24"/>
          <w:highlight w:val="none"/>
          <w:lang w:eastAsia="zh-CN"/>
        </w:rPr>
        <w:t>采购编号：</w:t>
      </w:r>
    </w:p>
    <w:tbl>
      <w:tblPr>
        <w:tblStyle w:val="66"/>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683"/>
        <w:gridCol w:w="2051"/>
        <w:gridCol w:w="2052"/>
        <w:gridCol w:w="2052"/>
      </w:tblGrid>
      <w:tr w14:paraId="0EEE5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4A1EC87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83" w:type="dxa"/>
            <w:noWrap w:val="0"/>
            <w:vAlign w:val="center"/>
          </w:tcPr>
          <w:p w14:paraId="4E358918">
            <w:pPr>
              <w:spacing w:line="360" w:lineRule="auto"/>
              <w:ind w:left="5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2051" w:type="dxa"/>
            <w:noWrap w:val="0"/>
            <w:vAlign w:val="center"/>
          </w:tcPr>
          <w:p w14:paraId="6D01280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招标要求</w:t>
            </w:r>
          </w:p>
        </w:tc>
        <w:tc>
          <w:tcPr>
            <w:tcW w:w="2052" w:type="dxa"/>
            <w:noWrap w:val="0"/>
            <w:vAlign w:val="center"/>
          </w:tcPr>
          <w:p w14:paraId="46B2F84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w:t>
            </w:r>
          </w:p>
        </w:tc>
        <w:tc>
          <w:tcPr>
            <w:tcW w:w="2052" w:type="dxa"/>
            <w:noWrap w:val="0"/>
            <w:vAlign w:val="center"/>
          </w:tcPr>
          <w:p w14:paraId="068FF90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41225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107AB8C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83" w:type="dxa"/>
            <w:noWrap w:val="0"/>
            <w:vAlign w:val="center"/>
          </w:tcPr>
          <w:p w14:paraId="6642F2A1">
            <w:pPr>
              <w:spacing w:line="360" w:lineRule="auto"/>
              <w:jc w:val="center"/>
              <w:rPr>
                <w:rFonts w:hint="eastAsia" w:ascii="宋体" w:hAnsi="宋体" w:eastAsia="宋体" w:cs="宋体"/>
                <w:color w:val="auto"/>
                <w:sz w:val="24"/>
                <w:szCs w:val="24"/>
                <w:highlight w:val="none"/>
              </w:rPr>
            </w:pPr>
          </w:p>
        </w:tc>
        <w:tc>
          <w:tcPr>
            <w:tcW w:w="2051" w:type="dxa"/>
            <w:noWrap w:val="0"/>
            <w:vAlign w:val="center"/>
          </w:tcPr>
          <w:p w14:paraId="1DFB8D5F">
            <w:pPr>
              <w:spacing w:line="360" w:lineRule="auto"/>
              <w:jc w:val="center"/>
              <w:rPr>
                <w:rFonts w:hint="eastAsia" w:ascii="宋体" w:hAnsi="宋体" w:eastAsia="宋体" w:cs="宋体"/>
                <w:color w:val="auto"/>
                <w:sz w:val="24"/>
                <w:szCs w:val="24"/>
                <w:highlight w:val="none"/>
              </w:rPr>
            </w:pPr>
          </w:p>
        </w:tc>
        <w:tc>
          <w:tcPr>
            <w:tcW w:w="2052" w:type="dxa"/>
            <w:noWrap w:val="0"/>
            <w:vAlign w:val="center"/>
          </w:tcPr>
          <w:p w14:paraId="04633B1B">
            <w:pPr>
              <w:spacing w:line="360" w:lineRule="auto"/>
              <w:jc w:val="center"/>
              <w:rPr>
                <w:rFonts w:hint="eastAsia" w:ascii="宋体" w:hAnsi="宋体" w:eastAsia="宋体" w:cs="宋体"/>
                <w:color w:val="auto"/>
                <w:sz w:val="24"/>
                <w:szCs w:val="24"/>
                <w:highlight w:val="none"/>
              </w:rPr>
            </w:pPr>
          </w:p>
        </w:tc>
        <w:tc>
          <w:tcPr>
            <w:tcW w:w="2052" w:type="dxa"/>
            <w:noWrap w:val="0"/>
            <w:vAlign w:val="center"/>
          </w:tcPr>
          <w:p w14:paraId="397FA33F">
            <w:pPr>
              <w:spacing w:line="360" w:lineRule="auto"/>
              <w:jc w:val="center"/>
              <w:rPr>
                <w:rFonts w:hint="eastAsia" w:ascii="宋体" w:hAnsi="宋体" w:eastAsia="宋体" w:cs="宋体"/>
                <w:color w:val="auto"/>
                <w:sz w:val="24"/>
                <w:szCs w:val="24"/>
                <w:highlight w:val="none"/>
              </w:rPr>
            </w:pPr>
          </w:p>
        </w:tc>
      </w:tr>
      <w:tr w14:paraId="23BD4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51E3D6D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83" w:type="dxa"/>
            <w:noWrap w:val="0"/>
            <w:vAlign w:val="center"/>
          </w:tcPr>
          <w:p w14:paraId="4292300A">
            <w:pPr>
              <w:spacing w:line="360" w:lineRule="auto"/>
              <w:jc w:val="center"/>
              <w:rPr>
                <w:rFonts w:hint="eastAsia" w:ascii="宋体" w:hAnsi="宋体" w:eastAsia="宋体" w:cs="宋体"/>
                <w:color w:val="auto"/>
                <w:sz w:val="24"/>
                <w:szCs w:val="24"/>
                <w:highlight w:val="none"/>
              </w:rPr>
            </w:pPr>
          </w:p>
        </w:tc>
        <w:tc>
          <w:tcPr>
            <w:tcW w:w="2051" w:type="dxa"/>
            <w:noWrap w:val="0"/>
            <w:vAlign w:val="center"/>
          </w:tcPr>
          <w:p w14:paraId="79B4B03C">
            <w:pPr>
              <w:spacing w:line="360" w:lineRule="auto"/>
              <w:jc w:val="center"/>
              <w:rPr>
                <w:rFonts w:hint="eastAsia" w:ascii="宋体" w:hAnsi="宋体" w:eastAsia="宋体" w:cs="宋体"/>
                <w:color w:val="auto"/>
                <w:sz w:val="24"/>
                <w:szCs w:val="24"/>
                <w:highlight w:val="none"/>
              </w:rPr>
            </w:pPr>
          </w:p>
        </w:tc>
        <w:tc>
          <w:tcPr>
            <w:tcW w:w="2052" w:type="dxa"/>
            <w:noWrap w:val="0"/>
            <w:vAlign w:val="center"/>
          </w:tcPr>
          <w:p w14:paraId="78DC347B">
            <w:pPr>
              <w:spacing w:line="360" w:lineRule="auto"/>
              <w:jc w:val="center"/>
              <w:rPr>
                <w:rFonts w:hint="eastAsia" w:ascii="宋体" w:hAnsi="宋体" w:eastAsia="宋体" w:cs="宋体"/>
                <w:color w:val="auto"/>
                <w:sz w:val="24"/>
                <w:szCs w:val="24"/>
                <w:highlight w:val="none"/>
              </w:rPr>
            </w:pPr>
          </w:p>
        </w:tc>
        <w:tc>
          <w:tcPr>
            <w:tcW w:w="2052" w:type="dxa"/>
            <w:noWrap w:val="0"/>
            <w:vAlign w:val="center"/>
          </w:tcPr>
          <w:p w14:paraId="204F59D4">
            <w:pPr>
              <w:spacing w:line="360" w:lineRule="auto"/>
              <w:jc w:val="center"/>
              <w:rPr>
                <w:rFonts w:hint="eastAsia" w:ascii="宋体" w:hAnsi="宋体" w:eastAsia="宋体" w:cs="宋体"/>
                <w:color w:val="auto"/>
                <w:sz w:val="24"/>
                <w:szCs w:val="24"/>
                <w:highlight w:val="none"/>
              </w:rPr>
            </w:pPr>
          </w:p>
        </w:tc>
      </w:tr>
      <w:tr w14:paraId="0F031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7F05AD2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83" w:type="dxa"/>
            <w:noWrap w:val="0"/>
            <w:vAlign w:val="center"/>
          </w:tcPr>
          <w:p w14:paraId="712C8C85">
            <w:pPr>
              <w:spacing w:line="360" w:lineRule="auto"/>
              <w:jc w:val="center"/>
              <w:rPr>
                <w:rFonts w:hint="eastAsia" w:ascii="宋体" w:hAnsi="宋体" w:eastAsia="宋体" w:cs="宋体"/>
                <w:color w:val="auto"/>
                <w:sz w:val="24"/>
                <w:szCs w:val="24"/>
                <w:highlight w:val="none"/>
              </w:rPr>
            </w:pPr>
          </w:p>
        </w:tc>
        <w:tc>
          <w:tcPr>
            <w:tcW w:w="2051" w:type="dxa"/>
            <w:noWrap w:val="0"/>
            <w:vAlign w:val="center"/>
          </w:tcPr>
          <w:p w14:paraId="3CA34993">
            <w:pPr>
              <w:spacing w:line="360" w:lineRule="auto"/>
              <w:jc w:val="center"/>
              <w:rPr>
                <w:rFonts w:hint="eastAsia" w:ascii="宋体" w:hAnsi="宋体" w:eastAsia="宋体" w:cs="宋体"/>
                <w:color w:val="auto"/>
                <w:sz w:val="24"/>
                <w:szCs w:val="24"/>
                <w:highlight w:val="none"/>
              </w:rPr>
            </w:pPr>
          </w:p>
        </w:tc>
        <w:tc>
          <w:tcPr>
            <w:tcW w:w="2052" w:type="dxa"/>
            <w:noWrap w:val="0"/>
            <w:vAlign w:val="center"/>
          </w:tcPr>
          <w:p w14:paraId="20107DF7">
            <w:pPr>
              <w:spacing w:line="360" w:lineRule="auto"/>
              <w:jc w:val="center"/>
              <w:rPr>
                <w:rFonts w:hint="eastAsia" w:ascii="宋体" w:hAnsi="宋体" w:eastAsia="宋体" w:cs="宋体"/>
                <w:color w:val="auto"/>
                <w:sz w:val="24"/>
                <w:szCs w:val="24"/>
                <w:highlight w:val="none"/>
              </w:rPr>
            </w:pPr>
          </w:p>
        </w:tc>
        <w:tc>
          <w:tcPr>
            <w:tcW w:w="2052" w:type="dxa"/>
            <w:noWrap w:val="0"/>
            <w:vAlign w:val="center"/>
          </w:tcPr>
          <w:p w14:paraId="5F39FE1F">
            <w:pPr>
              <w:spacing w:line="360" w:lineRule="auto"/>
              <w:jc w:val="center"/>
              <w:rPr>
                <w:rFonts w:hint="eastAsia" w:ascii="宋体" w:hAnsi="宋体" w:eastAsia="宋体" w:cs="宋体"/>
                <w:color w:val="auto"/>
                <w:sz w:val="24"/>
                <w:szCs w:val="24"/>
                <w:highlight w:val="none"/>
              </w:rPr>
            </w:pPr>
          </w:p>
        </w:tc>
      </w:tr>
      <w:tr w14:paraId="0D2E3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4B11370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683" w:type="dxa"/>
            <w:noWrap w:val="0"/>
            <w:vAlign w:val="center"/>
          </w:tcPr>
          <w:p w14:paraId="6D2EEDA1">
            <w:pPr>
              <w:spacing w:line="360" w:lineRule="auto"/>
              <w:jc w:val="center"/>
              <w:rPr>
                <w:rFonts w:hint="eastAsia" w:ascii="宋体" w:hAnsi="宋体" w:eastAsia="宋体" w:cs="宋体"/>
                <w:color w:val="auto"/>
                <w:sz w:val="24"/>
                <w:szCs w:val="24"/>
                <w:highlight w:val="none"/>
              </w:rPr>
            </w:pPr>
          </w:p>
        </w:tc>
        <w:tc>
          <w:tcPr>
            <w:tcW w:w="2051" w:type="dxa"/>
            <w:noWrap w:val="0"/>
            <w:vAlign w:val="center"/>
          </w:tcPr>
          <w:p w14:paraId="39B258A5">
            <w:pPr>
              <w:spacing w:line="360" w:lineRule="auto"/>
              <w:jc w:val="center"/>
              <w:rPr>
                <w:rFonts w:hint="eastAsia" w:ascii="宋体" w:hAnsi="宋体" w:eastAsia="宋体" w:cs="宋体"/>
                <w:color w:val="auto"/>
                <w:sz w:val="24"/>
                <w:szCs w:val="24"/>
                <w:highlight w:val="none"/>
              </w:rPr>
            </w:pPr>
          </w:p>
        </w:tc>
        <w:tc>
          <w:tcPr>
            <w:tcW w:w="2052" w:type="dxa"/>
            <w:noWrap w:val="0"/>
            <w:vAlign w:val="center"/>
          </w:tcPr>
          <w:p w14:paraId="0044665D">
            <w:pPr>
              <w:spacing w:line="360" w:lineRule="auto"/>
              <w:jc w:val="center"/>
              <w:rPr>
                <w:rFonts w:hint="eastAsia" w:ascii="宋体" w:hAnsi="宋体" w:eastAsia="宋体" w:cs="宋体"/>
                <w:color w:val="auto"/>
                <w:sz w:val="24"/>
                <w:szCs w:val="24"/>
                <w:highlight w:val="none"/>
              </w:rPr>
            </w:pPr>
          </w:p>
        </w:tc>
        <w:tc>
          <w:tcPr>
            <w:tcW w:w="2052" w:type="dxa"/>
            <w:noWrap w:val="0"/>
            <w:vAlign w:val="center"/>
          </w:tcPr>
          <w:p w14:paraId="343E7485">
            <w:pPr>
              <w:spacing w:line="360" w:lineRule="auto"/>
              <w:jc w:val="center"/>
              <w:rPr>
                <w:rFonts w:hint="eastAsia" w:ascii="宋体" w:hAnsi="宋体" w:eastAsia="宋体" w:cs="宋体"/>
                <w:color w:val="auto"/>
                <w:sz w:val="24"/>
                <w:szCs w:val="24"/>
                <w:highlight w:val="none"/>
              </w:rPr>
            </w:pPr>
          </w:p>
        </w:tc>
      </w:tr>
      <w:tr w14:paraId="1022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6718744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683" w:type="dxa"/>
            <w:noWrap w:val="0"/>
            <w:vAlign w:val="center"/>
          </w:tcPr>
          <w:p w14:paraId="684ECAFB">
            <w:pPr>
              <w:spacing w:line="360" w:lineRule="auto"/>
              <w:jc w:val="center"/>
              <w:rPr>
                <w:rFonts w:hint="eastAsia" w:ascii="宋体" w:hAnsi="宋体" w:eastAsia="宋体" w:cs="宋体"/>
                <w:color w:val="auto"/>
                <w:sz w:val="24"/>
                <w:szCs w:val="24"/>
                <w:highlight w:val="none"/>
              </w:rPr>
            </w:pPr>
          </w:p>
        </w:tc>
        <w:tc>
          <w:tcPr>
            <w:tcW w:w="2051" w:type="dxa"/>
            <w:noWrap w:val="0"/>
            <w:vAlign w:val="center"/>
          </w:tcPr>
          <w:p w14:paraId="5B185CAE">
            <w:pPr>
              <w:spacing w:line="360" w:lineRule="auto"/>
              <w:jc w:val="center"/>
              <w:rPr>
                <w:rFonts w:hint="eastAsia" w:ascii="宋体" w:hAnsi="宋体" w:eastAsia="宋体" w:cs="宋体"/>
                <w:color w:val="auto"/>
                <w:sz w:val="24"/>
                <w:szCs w:val="24"/>
                <w:highlight w:val="none"/>
              </w:rPr>
            </w:pPr>
          </w:p>
        </w:tc>
        <w:tc>
          <w:tcPr>
            <w:tcW w:w="2052" w:type="dxa"/>
            <w:noWrap w:val="0"/>
            <w:vAlign w:val="center"/>
          </w:tcPr>
          <w:p w14:paraId="0351DA6E">
            <w:pPr>
              <w:spacing w:line="360" w:lineRule="auto"/>
              <w:jc w:val="center"/>
              <w:rPr>
                <w:rFonts w:hint="eastAsia" w:ascii="宋体" w:hAnsi="宋体" w:eastAsia="宋体" w:cs="宋体"/>
                <w:color w:val="auto"/>
                <w:sz w:val="24"/>
                <w:szCs w:val="24"/>
                <w:highlight w:val="none"/>
              </w:rPr>
            </w:pPr>
          </w:p>
        </w:tc>
        <w:tc>
          <w:tcPr>
            <w:tcW w:w="2052" w:type="dxa"/>
            <w:noWrap w:val="0"/>
            <w:vAlign w:val="center"/>
          </w:tcPr>
          <w:p w14:paraId="79BF633E">
            <w:pPr>
              <w:spacing w:line="360" w:lineRule="auto"/>
              <w:jc w:val="center"/>
              <w:rPr>
                <w:rFonts w:hint="eastAsia" w:ascii="宋体" w:hAnsi="宋体" w:eastAsia="宋体" w:cs="宋体"/>
                <w:color w:val="auto"/>
                <w:sz w:val="24"/>
                <w:szCs w:val="24"/>
                <w:highlight w:val="none"/>
              </w:rPr>
            </w:pPr>
          </w:p>
        </w:tc>
      </w:tr>
      <w:tr w14:paraId="60B2B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61DFBE97">
            <w:pPr>
              <w:jc w:val="center"/>
              <w:rPr>
                <w:rFonts w:hint="eastAsia" w:ascii="宋体" w:hAnsi="宋体" w:eastAsia="宋体" w:cs="宋体"/>
                <w:color w:val="auto"/>
                <w:sz w:val="24"/>
                <w:szCs w:val="24"/>
                <w:highlight w:val="none"/>
              </w:rPr>
            </w:pPr>
          </w:p>
        </w:tc>
        <w:tc>
          <w:tcPr>
            <w:tcW w:w="1683" w:type="dxa"/>
            <w:noWrap w:val="0"/>
            <w:vAlign w:val="center"/>
          </w:tcPr>
          <w:p w14:paraId="04A1A9FB">
            <w:pPr>
              <w:spacing w:line="360" w:lineRule="auto"/>
              <w:jc w:val="center"/>
              <w:rPr>
                <w:rFonts w:hint="eastAsia" w:ascii="宋体" w:hAnsi="宋体" w:eastAsia="宋体" w:cs="宋体"/>
                <w:color w:val="auto"/>
                <w:sz w:val="24"/>
                <w:szCs w:val="24"/>
                <w:highlight w:val="none"/>
              </w:rPr>
            </w:pPr>
          </w:p>
        </w:tc>
        <w:tc>
          <w:tcPr>
            <w:tcW w:w="2051" w:type="dxa"/>
            <w:noWrap w:val="0"/>
            <w:vAlign w:val="center"/>
          </w:tcPr>
          <w:p w14:paraId="45C05F64">
            <w:pPr>
              <w:spacing w:line="360" w:lineRule="auto"/>
              <w:jc w:val="center"/>
              <w:rPr>
                <w:rFonts w:hint="eastAsia" w:ascii="宋体" w:hAnsi="宋体" w:eastAsia="宋体" w:cs="宋体"/>
                <w:color w:val="auto"/>
                <w:sz w:val="24"/>
                <w:szCs w:val="24"/>
                <w:highlight w:val="none"/>
              </w:rPr>
            </w:pPr>
          </w:p>
        </w:tc>
        <w:tc>
          <w:tcPr>
            <w:tcW w:w="2052" w:type="dxa"/>
            <w:noWrap w:val="0"/>
            <w:vAlign w:val="center"/>
          </w:tcPr>
          <w:p w14:paraId="670AB9F2">
            <w:pPr>
              <w:spacing w:line="360" w:lineRule="auto"/>
              <w:jc w:val="center"/>
              <w:rPr>
                <w:rFonts w:hint="eastAsia" w:ascii="宋体" w:hAnsi="宋体" w:eastAsia="宋体" w:cs="宋体"/>
                <w:color w:val="auto"/>
                <w:sz w:val="24"/>
                <w:szCs w:val="24"/>
                <w:highlight w:val="none"/>
              </w:rPr>
            </w:pPr>
          </w:p>
        </w:tc>
        <w:tc>
          <w:tcPr>
            <w:tcW w:w="2052" w:type="dxa"/>
            <w:noWrap w:val="0"/>
            <w:vAlign w:val="center"/>
          </w:tcPr>
          <w:p w14:paraId="1DE502AC">
            <w:pPr>
              <w:spacing w:line="360" w:lineRule="auto"/>
              <w:jc w:val="center"/>
              <w:rPr>
                <w:rFonts w:hint="eastAsia" w:ascii="宋体" w:hAnsi="宋体" w:eastAsia="宋体" w:cs="宋体"/>
                <w:color w:val="auto"/>
                <w:sz w:val="24"/>
                <w:szCs w:val="24"/>
                <w:highlight w:val="none"/>
              </w:rPr>
            </w:pPr>
          </w:p>
        </w:tc>
      </w:tr>
    </w:tbl>
    <w:p w14:paraId="44D5A71F">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注：</w:t>
      </w:r>
      <w:r>
        <w:rPr>
          <w:rFonts w:hint="eastAsia" w:ascii="宋体" w:hAnsi="宋体" w:eastAsia="宋体" w:cs="宋体"/>
          <w:color w:val="auto"/>
          <w:sz w:val="24"/>
          <w:szCs w:val="24"/>
          <w:highlight w:val="none"/>
        </w:rPr>
        <w:t>1.投标人提交的投标文件中与招标文件的技术部分的要求有不同时，应在本表中把招标文件要求与投标实际响应内容逐项对应列出。并在“偏离说明”项下填写以下内容：优于的，填写“正偏离”；符合的，填写“无偏离”；低于的，填写“负偏离”。</w:t>
      </w:r>
    </w:p>
    <w:p w14:paraId="3A4298FB">
      <w:pPr>
        <w:spacing w:line="360" w:lineRule="auto"/>
        <w:ind w:right="480"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单位必须明确所投产品的具体技术参数</w:t>
      </w:r>
    </w:p>
    <w:p w14:paraId="14D289B7">
      <w:pPr>
        <w:spacing w:line="360" w:lineRule="auto"/>
        <w:ind w:right="480"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若事项较多，投标人可根据投标内容的实际情况另纸说明。</w:t>
      </w:r>
    </w:p>
    <w:p w14:paraId="5DB09868">
      <w:pPr>
        <w:spacing w:line="360" w:lineRule="auto"/>
        <w:ind w:firstLine="480"/>
        <w:rPr>
          <w:rFonts w:hint="eastAsia" w:ascii="宋体" w:hAnsi="宋体" w:eastAsia="宋体" w:cs="宋体"/>
          <w:color w:val="auto"/>
          <w:sz w:val="24"/>
          <w:szCs w:val="24"/>
          <w:highlight w:val="none"/>
        </w:rPr>
      </w:pPr>
    </w:p>
    <w:p w14:paraId="2141CEBD">
      <w:pPr>
        <w:spacing w:line="360" w:lineRule="auto"/>
        <w:ind w:firstLine="480"/>
        <w:rPr>
          <w:rFonts w:hint="eastAsia" w:ascii="宋体" w:hAnsi="宋体" w:eastAsia="宋体" w:cs="宋体"/>
          <w:color w:val="auto"/>
          <w:sz w:val="24"/>
          <w:szCs w:val="24"/>
          <w:highlight w:val="none"/>
        </w:rPr>
      </w:pPr>
    </w:p>
    <w:p w14:paraId="254DFB27">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229E84D4">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p>
    <w:p w14:paraId="241F1480">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投标日期：年月日</w:t>
      </w:r>
    </w:p>
    <w:p w14:paraId="5AAF171D">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1F7BE9E2">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商务偏离表</w:t>
      </w:r>
    </w:p>
    <w:p w14:paraId="1DF7C87C">
      <w:pPr>
        <w:pStyle w:val="253"/>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商务条款偏离表</w:t>
      </w:r>
    </w:p>
    <w:p w14:paraId="04D071E1">
      <w:pPr>
        <w:pStyle w:val="253"/>
        <w:spacing w:line="420" w:lineRule="exact"/>
        <w:jc w:val="lef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采购编号：</w:t>
      </w:r>
    </w:p>
    <w:tbl>
      <w:tblPr>
        <w:tblStyle w:val="66"/>
        <w:tblW w:w="9546" w:type="dxa"/>
        <w:tblInd w:w="3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537"/>
        <w:gridCol w:w="2410"/>
        <w:gridCol w:w="2409"/>
        <w:gridCol w:w="1276"/>
        <w:gridCol w:w="1134"/>
      </w:tblGrid>
      <w:tr w14:paraId="50B4F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trPr>
        <w:tc>
          <w:tcPr>
            <w:tcW w:w="780" w:type="dxa"/>
            <w:noWrap w:val="0"/>
            <w:vAlign w:val="center"/>
          </w:tcPr>
          <w:p w14:paraId="3A5D6405">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537" w:type="dxa"/>
            <w:noWrap w:val="0"/>
            <w:vAlign w:val="center"/>
          </w:tcPr>
          <w:p w14:paraId="63A1AC4E">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w:t>
            </w:r>
          </w:p>
        </w:tc>
        <w:tc>
          <w:tcPr>
            <w:tcW w:w="2410" w:type="dxa"/>
            <w:noWrap w:val="0"/>
            <w:vAlign w:val="center"/>
          </w:tcPr>
          <w:p w14:paraId="5CFDA19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招标文件的商务条款</w:t>
            </w:r>
          </w:p>
        </w:tc>
        <w:tc>
          <w:tcPr>
            <w:tcW w:w="2409" w:type="dxa"/>
            <w:noWrap w:val="0"/>
            <w:vAlign w:val="center"/>
          </w:tcPr>
          <w:p w14:paraId="5B20D99E">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投标文件的商务条款</w:t>
            </w:r>
          </w:p>
        </w:tc>
        <w:tc>
          <w:tcPr>
            <w:tcW w:w="1276" w:type="dxa"/>
            <w:noWrap w:val="0"/>
            <w:vAlign w:val="center"/>
          </w:tcPr>
          <w:p w14:paraId="66BDDEC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c>
          <w:tcPr>
            <w:tcW w:w="1134" w:type="dxa"/>
            <w:noWrap w:val="0"/>
            <w:vAlign w:val="center"/>
          </w:tcPr>
          <w:p w14:paraId="53840E95">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3C29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80" w:type="dxa"/>
            <w:noWrap w:val="0"/>
            <w:vAlign w:val="center"/>
          </w:tcPr>
          <w:p w14:paraId="4554972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37" w:type="dxa"/>
            <w:noWrap w:val="0"/>
            <w:vAlign w:val="center"/>
          </w:tcPr>
          <w:p w14:paraId="38FAE480">
            <w:pP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服务期限</w:t>
            </w:r>
          </w:p>
        </w:tc>
        <w:tc>
          <w:tcPr>
            <w:tcW w:w="2410" w:type="dxa"/>
            <w:noWrap w:val="0"/>
            <w:vAlign w:val="center"/>
          </w:tcPr>
          <w:p w14:paraId="49D477D3">
            <w:pPr>
              <w:spacing w:line="360" w:lineRule="auto"/>
              <w:rPr>
                <w:rFonts w:hint="eastAsia" w:ascii="宋体" w:hAnsi="宋体" w:eastAsia="宋体" w:cs="宋体"/>
                <w:color w:val="auto"/>
                <w:sz w:val="24"/>
                <w:szCs w:val="24"/>
                <w:highlight w:val="none"/>
              </w:rPr>
            </w:pPr>
          </w:p>
        </w:tc>
        <w:tc>
          <w:tcPr>
            <w:tcW w:w="2409" w:type="dxa"/>
            <w:noWrap w:val="0"/>
            <w:vAlign w:val="center"/>
          </w:tcPr>
          <w:p w14:paraId="41C3E3CD">
            <w:pPr>
              <w:spacing w:line="360" w:lineRule="auto"/>
              <w:rPr>
                <w:rFonts w:hint="eastAsia" w:ascii="宋体" w:hAnsi="宋体" w:eastAsia="宋体" w:cs="宋体"/>
                <w:color w:val="auto"/>
                <w:sz w:val="24"/>
                <w:szCs w:val="24"/>
                <w:highlight w:val="none"/>
              </w:rPr>
            </w:pPr>
          </w:p>
        </w:tc>
        <w:tc>
          <w:tcPr>
            <w:tcW w:w="1276" w:type="dxa"/>
            <w:noWrap w:val="0"/>
            <w:vAlign w:val="center"/>
          </w:tcPr>
          <w:p w14:paraId="752E74C9">
            <w:pPr>
              <w:spacing w:line="360" w:lineRule="auto"/>
              <w:rPr>
                <w:rFonts w:hint="eastAsia" w:ascii="宋体" w:hAnsi="宋体" w:eastAsia="宋体" w:cs="宋体"/>
                <w:color w:val="auto"/>
                <w:sz w:val="24"/>
                <w:szCs w:val="24"/>
                <w:highlight w:val="none"/>
              </w:rPr>
            </w:pPr>
          </w:p>
        </w:tc>
        <w:tc>
          <w:tcPr>
            <w:tcW w:w="1134" w:type="dxa"/>
            <w:noWrap w:val="0"/>
            <w:vAlign w:val="center"/>
          </w:tcPr>
          <w:p w14:paraId="6014C47B">
            <w:pPr>
              <w:spacing w:line="360" w:lineRule="auto"/>
              <w:rPr>
                <w:rFonts w:hint="eastAsia" w:ascii="宋体" w:hAnsi="宋体" w:eastAsia="宋体" w:cs="宋体"/>
                <w:color w:val="auto"/>
                <w:sz w:val="24"/>
                <w:szCs w:val="24"/>
                <w:highlight w:val="none"/>
              </w:rPr>
            </w:pPr>
          </w:p>
        </w:tc>
      </w:tr>
      <w:tr w14:paraId="0179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80" w:type="dxa"/>
            <w:noWrap w:val="0"/>
            <w:vAlign w:val="center"/>
          </w:tcPr>
          <w:p w14:paraId="19D302A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37" w:type="dxa"/>
            <w:noWrap w:val="0"/>
            <w:vAlign w:val="center"/>
          </w:tcPr>
          <w:p w14:paraId="4EC66749">
            <w:pP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服务地点</w:t>
            </w:r>
          </w:p>
        </w:tc>
        <w:tc>
          <w:tcPr>
            <w:tcW w:w="2410" w:type="dxa"/>
            <w:noWrap w:val="0"/>
            <w:vAlign w:val="center"/>
          </w:tcPr>
          <w:p w14:paraId="590AA3B1">
            <w:pPr>
              <w:spacing w:line="360" w:lineRule="auto"/>
              <w:rPr>
                <w:rFonts w:hint="eastAsia" w:ascii="宋体" w:hAnsi="宋体" w:eastAsia="宋体" w:cs="宋体"/>
                <w:color w:val="auto"/>
                <w:sz w:val="24"/>
                <w:szCs w:val="24"/>
                <w:highlight w:val="none"/>
              </w:rPr>
            </w:pPr>
          </w:p>
        </w:tc>
        <w:tc>
          <w:tcPr>
            <w:tcW w:w="2409" w:type="dxa"/>
            <w:noWrap w:val="0"/>
            <w:vAlign w:val="center"/>
          </w:tcPr>
          <w:p w14:paraId="3084AD2A">
            <w:pPr>
              <w:spacing w:line="360" w:lineRule="auto"/>
              <w:rPr>
                <w:rFonts w:hint="eastAsia" w:ascii="宋体" w:hAnsi="宋体" w:eastAsia="宋体" w:cs="宋体"/>
                <w:color w:val="auto"/>
                <w:sz w:val="24"/>
                <w:szCs w:val="24"/>
                <w:highlight w:val="none"/>
              </w:rPr>
            </w:pPr>
          </w:p>
        </w:tc>
        <w:tc>
          <w:tcPr>
            <w:tcW w:w="1276" w:type="dxa"/>
            <w:noWrap w:val="0"/>
            <w:vAlign w:val="center"/>
          </w:tcPr>
          <w:p w14:paraId="0C511C28">
            <w:pPr>
              <w:spacing w:line="360" w:lineRule="auto"/>
              <w:rPr>
                <w:rFonts w:hint="eastAsia" w:ascii="宋体" w:hAnsi="宋体" w:eastAsia="宋体" w:cs="宋体"/>
                <w:color w:val="auto"/>
                <w:sz w:val="24"/>
                <w:szCs w:val="24"/>
                <w:highlight w:val="none"/>
              </w:rPr>
            </w:pPr>
          </w:p>
        </w:tc>
        <w:tc>
          <w:tcPr>
            <w:tcW w:w="1134" w:type="dxa"/>
            <w:noWrap w:val="0"/>
            <w:vAlign w:val="center"/>
          </w:tcPr>
          <w:p w14:paraId="2ED2C28D">
            <w:pPr>
              <w:spacing w:line="360" w:lineRule="auto"/>
              <w:rPr>
                <w:rFonts w:hint="eastAsia" w:ascii="宋体" w:hAnsi="宋体" w:eastAsia="宋体" w:cs="宋体"/>
                <w:color w:val="auto"/>
                <w:sz w:val="24"/>
                <w:szCs w:val="24"/>
                <w:highlight w:val="none"/>
              </w:rPr>
            </w:pPr>
          </w:p>
        </w:tc>
      </w:tr>
      <w:tr w14:paraId="0095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80" w:type="dxa"/>
            <w:noWrap w:val="0"/>
            <w:vAlign w:val="center"/>
          </w:tcPr>
          <w:p w14:paraId="229C341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537" w:type="dxa"/>
            <w:noWrap w:val="0"/>
            <w:vAlign w:val="center"/>
          </w:tcPr>
          <w:p w14:paraId="22488551">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付款方式</w:t>
            </w:r>
          </w:p>
        </w:tc>
        <w:tc>
          <w:tcPr>
            <w:tcW w:w="2410" w:type="dxa"/>
            <w:noWrap w:val="0"/>
            <w:vAlign w:val="center"/>
          </w:tcPr>
          <w:p w14:paraId="562679CF">
            <w:pPr>
              <w:spacing w:line="360" w:lineRule="auto"/>
              <w:rPr>
                <w:rFonts w:hint="eastAsia" w:ascii="宋体" w:hAnsi="宋体" w:eastAsia="宋体" w:cs="宋体"/>
                <w:color w:val="auto"/>
                <w:sz w:val="24"/>
                <w:szCs w:val="24"/>
                <w:highlight w:val="none"/>
              </w:rPr>
            </w:pPr>
          </w:p>
        </w:tc>
        <w:tc>
          <w:tcPr>
            <w:tcW w:w="2409" w:type="dxa"/>
            <w:noWrap w:val="0"/>
            <w:vAlign w:val="center"/>
          </w:tcPr>
          <w:p w14:paraId="64EEFFE4">
            <w:pPr>
              <w:spacing w:line="360" w:lineRule="auto"/>
              <w:rPr>
                <w:rFonts w:hint="eastAsia" w:ascii="宋体" w:hAnsi="宋体" w:eastAsia="宋体" w:cs="宋体"/>
                <w:color w:val="auto"/>
                <w:sz w:val="24"/>
                <w:szCs w:val="24"/>
                <w:highlight w:val="none"/>
              </w:rPr>
            </w:pPr>
          </w:p>
        </w:tc>
        <w:tc>
          <w:tcPr>
            <w:tcW w:w="1276" w:type="dxa"/>
            <w:noWrap w:val="0"/>
            <w:vAlign w:val="center"/>
          </w:tcPr>
          <w:p w14:paraId="1AD56474">
            <w:pPr>
              <w:spacing w:line="360" w:lineRule="auto"/>
              <w:rPr>
                <w:rFonts w:hint="eastAsia" w:ascii="宋体" w:hAnsi="宋体" w:eastAsia="宋体" w:cs="宋体"/>
                <w:color w:val="auto"/>
                <w:sz w:val="24"/>
                <w:szCs w:val="24"/>
                <w:highlight w:val="none"/>
              </w:rPr>
            </w:pPr>
          </w:p>
        </w:tc>
        <w:tc>
          <w:tcPr>
            <w:tcW w:w="1134" w:type="dxa"/>
            <w:noWrap w:val="0"/>
            <w:vAlign w:val="center"/>
          </w:tcPr>
          <w:p w14:paraId="34E37C6A">
            <w:pPr>
              <w:spacing w:line="360" w:lineRule="auto"/>
              <w:rPr>
                <w:rFonts w:hint="eastAsia" w:ascii="宋体" w:hAnsi="宋体" w:eastAsia="宋体" w:cs="宋体"/>
                <w:color w:val="auto"/>
                <w:sz w:val="24"/>
                <w:szCs w:val="24"/>
                <w:highlight w:val="none"/>
              </w:rPr>
            </w:pPr>
          </w:p>
        </w:tc>
      </w:tr>
      <w:tr w14:paraId="3BDA6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80" w:type="dxa"/>
            <w:noWrap w:val="0"/>
            <w:vAlign w:val="center"/>
          </w:tcPr>
          <w:p w14:paraId="29E9B160">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1537" w:type="dxa"/>
            <w:noWrap w:val="0"/>
            <w:vAlign w:val="center"/>
          </w:tcPr>
          <w:p w14:paraId="25060324">
            <w:pP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tc>
        <w:tc>
          <w:tcPr>
            <w:tcW w:w="2410" w:type="dxa"/>
            <w:noWrap w:val="0"/>
            <w:vAlign w:val="center"/>
          </w:tcPr>
          <w:p w14:paraId="2B2818DF">
            <w:pPr>
              <w:spacing w:line="360" w:lineRule="auto"/>
              <w:rPr>
                <w:rFonts w:hint="eastAsia" w:ascii="宋体" w:hAnsi="宋体" w:eastAsia="宋体" w:cs="宋体"/>
                <w:color w:val="auto"/>
                <w:sz w:val="24"/>
                <w:szCs w:val="24"/>
                <w:highlight w:val="none"/>
              </w:rPr>
            </w:pPr>
          </w:p>
        </w:tc>
        <w:tc>
          <w:tcPr>
            <w:tcW w:w="2409" w:type="dxa"/>
            <w:noWrap w:val="0"/>
            <w:vAlign w:val="center"/>
          </w:tcPr>
          <w:p w14:paraId="3F23F04E">
            <w:pPr>
              <w:spacing w:line="360" w:lineRule="auto"/>
              <w:rPr>
                <w:rFonts w:hint="eastAsia" w:ascii="宋体" w:hAnsi="宋体" w:eastAsia="宋体" w:cs="宋体"/>
                <w:color w:val="auto"/>
                <w:sz w:val="24"/>
                <w:szCs w:val="24"/>
                <w:highlight w:val="none"/>
              </w:rPr>
            </w:pPr>
          </w:p>
        </w:tc>
        <w:tc>
          <w:tcPr>
            <w:tcW w:w="1276" w:type="dxa"/>
            <w:noWrap w:val="0"/>
            <w:vAlign w:val="center"/>
          </w:tcPr>
          <w:p w14:paraId="636909CB">
            <w:pPr>
              <w:spacing w:line="360" w:lineRule="auto"/>
              <w:rPr>
                <w:rFonts w:hint="eastAsia" w:ascii="宋体" w:hAnsi="宋体" w:eastAsia="宋体" w:cs="宋体"/>
                <w:color w:val="auto"/>
                <w:sz w:val="24"/>
                <w:szCs w:val="24"/>
                <w:highlight w:val="none"/>
              </w:rPr>
            </w:pPr>
          </w:p>
        </w:tc>
        <w:tc>
          <w:tcPr>
            <w:tcW w:w="1134" w:type="dxa"/>
            <w:noWrap w:val="0"/>
            <w:vAlign w:val="center"/>
          </w:tcPr>
          <w:p w14:paraId="01F3BD4F">
            <w:pPr>
              <w:spacing w:line="360" w:lineRule="auto"/>
              <w:rPr>
                <w:rFonts w:hint="eastAsia" w:ascii="宋体" w:hAnsi="宋体" w:eastAsia="宋体" w:cs="宋体"/>
                <w:color w:val="auto"/>
                <w:sz w:val="24"/>
                <w:szCs w:val="24"/>
                <w:highlight w:val="none"/>
              </w:rPr>
            </w:pPr>
          </w:p>
        </w:tc>
      </w:tr>
      <w:tr w14:paraId="092C2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80" w:type="dxa"/>
            <w:noWrap w:val="0"/>
            <w:vAlign w:val="center"/>
          </w:tcPr>
          <w:p w14:paraId="318DB3E3">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537" w:type="dxa"/>
            <w:noWrap w:val="0"/>
            <w:vAlign w:val="center"/>
          </w:tcPr>
          <w:p w14:paraId="57B07374">
            <w:pPr>
              <w:spacing w:line="360" w:lineRule="auto"/>
              <w:rPr>
                <w:rFonts w:hint="eastAsia" w:ascii="宋体" w:hAnsi="宋体" w:eastAsia="宋体" w:cs="宋体"/>
                <w:color w:val="auto"/>
                <w:sz w:val="24"/>
                <w:szCs w:val="24"/>
                <w:highlight w:val="none"/>
                <w:lang w:val="zh-CN"/>
              </w:rPr>
            </w:pPr>
          </w:p>
        </w:tc>
        <w:tc>
          <w:tcPr>
            <w:tcW w:w="2410" w:type="dxa"/>
            <w:noWrap w:val="0"/>
            <w:vAlign w:val="center"/>
          </w:tcPr>
          <w:p w14:paraId="4C19E4EB">
            <w:pPr>
              <w:spacing w:line="360" w:lineRule="auto"/>
              <w:rPr>
                <w:rFonts w:hint="eastAsia" w:ascii="宋体" w:hAnsi="宋体" w:eastAsia="宋体" w:cs="宋体"/>
                <w:color w:val="auto"/>
                <w:sz w:val="24"/>
                <w:szCs w:val="24"/>
                <w:highlight w:val="none"/>
              </w:rPr>
            </w:pPr>
          </w:p>
        </w:tc>
        <w:tc>
          <w:tcPr>
            <w:tcW w:w="2409" w:type="dxa"/>
            <w:noWrap w:val="0"/>
            <w:vAlign w:val="center"/>
          </w:tcPr>
          <w:p w14:paraId="4FCC63F7">
            <w:pPr>
              <w:spacing w:line="360" w:lineRule="auto"/>
              <w:rPr>
                <w:rFonts w:hint="eastAsia" w:ascii="宋体" w:hAnsi="宋体" w:eastAsia="宋体" w:cs="宋体"/>
                <w:color w:val="auto"/>
                <w:sz w:val="24"/>
                <w:szCs w:val="24"/>
                <w:highlight w:val="none"/>
              </w:rPr>
            </w:pPr>
          </w:p>
        </w:tc>
        <w:tc>
          <w:tcPr>
            <w:tcW w:w="1276" w:type="dxa"/>
            <w:noWrap w:val="0"/>
            <w:vAlign w:val="center"/>
          </w:tcPr>
          <w:p w14:paraId="1F35DA90">
            <w:pPr>
              <w:spacing w:line="360" w:lineRule="auto"/>
              <w:rPr>
                <w:rFonts w:hint="eastAsia" w:ascii="宋体" w:hAnsi="宋体" w:eastAsia="宋体" w:cs="宋体"/>
                <w:color w:val="auto"/>
                <w:sz w:val="24"/>
                <w:szCs w:val="24"/>
                <w:highlight w:val="none"/>
              </w:rPr>
            </w:pPr>
          </w:p>
        </w:tc>
        <w:tc>
          <w:tcPr>
            <w:tcW w:w="1134" w:type="dxa"/>
            <w:noWrap w:val="0"/>
            <w:vAlign w:val="center"/>
          </w:tcPr>
          <w:p w14:paraId="3A21F9C7">
            <w:pPr>
              <w:spacing w:line="360" w:lineRule="auto"/>
              <w:rPr>
                <w:rFonts w:hint="eastAsia" w:ascii="宋体" w:hAnsi="宋体" w:eastAsia="宋体" w:cs="宋体"/>
                <w:color w:val="auto"/>
                <w:sz w:val="24"/>
                <w:szCs w:val="24"/>
                <w:highlight w:val="none"/>
              </w:rPr>
            </w:pPr>
          </w:p>
        </w:tc>
      </w:tr>
      <w:tr w14:paraId="0EBA0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80" w:type="dxa"/>
            <w:noWrap w:val="0"/>
            <w:vAlign w:val="center"/>
          </w:tcPr>
          <w:p w14:paraId="51923FDE">
            <w:pPr>
              <w:spacing w:line="360" w:lineRule="auto"/>
              <w:jc w:val="center"/>
              <w:rPr>
                <w:rFonts w:hint="eastAsia" w:ascii="宋体" w:hAnsi="宋体" w:eastAsia="宋体" w:cs="宋体"/>
                <w:bCs/>
                <w:color w:val="auto"/>
                <w:sz w:val="24"/>
                <w:szCs w:val="24"/>
                <w:highlight w:val="none"/>
              </w:rPr>
            </w:pPr>
          </w:p>
        </w:tc>
        <w:tc>
          <w:tcPr>
            <w:tcW w:w="1537" w:type="dxa"/>
            <w:noWrap w:val="0"/>
            <w:vAlign w:val="center"/>
          </w:tcPr>
          <w:p w14:paraId="5AC49DD3">
            <w:pPr>
              <w:spacing w:line="360" w:lineRule="auto"/>
              <w:rPr>
                <w:rFonts w:hint="eastAsia" w:ascii="宋体" w:hAnsi="宋体" w:eastAsia="宋体" w:cs="宋体"/>
                <w:color w:val="auto"/>
                <w:sz w:val="24"/>
                <w:szCs w:val="24"/>
                <w:highlight w:val="none"/>
                <w:lang w:val="zh-CN"/>
              </w:rPr>
            </w:pPr>
          </w:p>
        </w:tc>
        <w:tc>
          <w:tcPr>
            <w:tcW w:w="2410" w:type="dxa"/>
            <w:noWrap w:val="0"/>
            <w:vAlign w:val="center"/>
          </w:tcPr>
          <w:p w14:paraId="23A70814">
            <w:pPr>
              <w:spacing w:line="360" w:lineRule="auto"/>
              <w:rPr>
                <w:rFonts w:hint="eastAsia" w:ascii="宋体" w:hAnsi="宋体" w:eastAsia="宋体" w:cs="宋体"/>
                <w:color w:val="auto"/>
                <w:sz w:val="24"/>
                <w:szCs w:val="24"/>
                <w:highlight w:val="none"/>
              </w:rPr>
            </w:pPr>
          </w:p>
        </w:tc>
        <w:tc>
          <w:tcPr>
            <w:tcW w:w="2409" w:type="dxa"/>
            <w:noWrap w:val="0"/>
            <w:vAlign w:val="center"/>
          </w:tcPr>
          <w:p w14:paraId="2A371FC2">
            <w:pPr>
              <w:spacing w:line="360" w:lineRule="auto"/>
              <w:rPr>
                <w:rFonts w:hint="eastAsia" w:ascii="宋体" w:hAnsi="宋体" w:eastAsia="宋体" w:cs="宋体"/>
                <w:color w:val="auto"/>
                <w:sz w:val="24"/>
                <w:szCs w:val="24"/>
                <w:highlight w:val="none"/>
              </w:rPr>
            </w:pPr>
          </w:p>
        </w:tc>
        <w:tc>
          <w:tcPr>
            <w:tcW w:w="1276" w:type="dxa"/>
            <w:noWrap w:val="0"/>
            <w:vAlign w:val="center"/>
          </w:tcPr>
          <w:p w14:paraId="355F3DE9">
            <w:pPr>
              <w:spacing w:line="360" w:lineRule="auto"/>
              <w:rPr>
                <w:rFonts w:hint="eastAsia" w:ascii="宋体" w:hAnsi="宋体" w:eastAsia="宋体" w:cs="宋体"/>
                <w:color w:val="auto"/>
                <w:sz w:val="24"/>
                <w:szCs w:val="24"/>
                <w:highlight w:val="none"/>
              </w:rPr>
            </w:pPr>
          </w:p>
        </w:tc>
        <w:tc>
          <w:tcPr>
            <w:tcW w:w="1134" w:type="dxa"/>
            <w:noWrap w:val="0"/>
            <w:vAlign w:val="center"/>
          </w:tcPr>
          <w:p w14:paraId="6FA963A6">
            <w:pPr>
              <w:spacing w:line="360" w:lineRule="auto"/>
              <w:rPr>
                <w:rFonts w:hint="eastAsia" w:ascii="宋体" w:hAnsi="宋体" w:eastAsia="宋体" w:cs="宋体"/>
                <w:color w:val="auto"/>
                <w:sz w:val="24"/>
                <w:szCs w:val="24"/>
                <w:highlight w:val="none"/>
              </w:rPr>
            </w:pPr>
          </w:p>
        </w:tc>
      </w:tr>
    </w:tbl>
    <w:p w14:paraId="6397D41F">
      <w:pPr>
        <w:widowControl w:val="0"/>
        <w:spacing w:line="360" w:lineRule="auto"/>
        <w:ind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注：</w:t>
      </w:r>
      <w:r>
        <w:rPr>
          <w:rFonts w:hint="eastAsia" w:ascii="宋体" w:hAnsi="宋体" w:eastAsia="宋体" w:cs="宋体"/>
          <w:color w:val="auto"/>
          <w:sz w:val="24"/>
          <w:szCs w:val="24"/>
          <w:highlight w:val="none"/>
          <w:lang w:val="en-US" w:eastAsia="zh-CN" w:bidi="ar-SA"/>
        </w:rPr>
        <w:t>1.投标人提交的投标文件中与招标文件的商务部分的要求有不同时，应在本表中把招标文件要求与投标实际响应内容逐项对应列出。并在“偏离说明”项下填写以下内容：优于的，填写“正偏离”；符合的，填写“无偏离”；低于的，填写“负偏离”。</w:t>
      </w:r>
    </w:p>
    <w:p w14:paraId="138BCCF7">
      <w:pPr>
        <w:widowControl w:val="0"/>
        <w:spacing w:line="360" w:lineRule="auto"/>
        <w:ind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2.若事项较多，投标人可根据投标内容的实际情况另纸说明。</w:t>
      </w:r>
    </w:p>
    <w:p w14:paraId="5B136BF1">
      <w:pPr>
        <w:widowControl w:val="0"/>
        <w:spacing w:line="360" w:lineRule="auto"/>
        <w:ind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3.商务条款不允许出现负偏离，否则为无效标。</w:t>
      </w:r>
    </w:p>
    <w:p w14:paraId="29A1F072">
      <w:pPr>
        <w:spacing w:line="360" w:lineRule="auto"/>
        <w:ind w:firstLine="480"/>
        <w:rPr>
          <w:rFonts w:hint="eastAsia" w:ascii="宋体" w:hAnsi="宋体" w:eastAsia="宋体" w:cs="宋体"/>
          <w:color w:val="auto"/>
          <w:sz w:val="24"/>
          <w:szCs w:val="24"/>
          <w:highlight w:val="none"/>
        </w:rPr>
      </w:pPr>
    </w:p>
    <w:p w14:paraId="16A83510">
      <w:pPr>
        <w:spacing w:line="360" w:lineRule="auto"/>
        <w:ind w:firstLine="480"/>
        <w:rPr>
          <w:rFonts w:hint="eastAsia" w:ascii="宋体" w:hAnsi="宋体" w:eastAsia="宋体" w:cs="宋体"/>
          <w:color w:val="auto"/>
          <w:sz w:val="24"/>
          <w:szCs w:val="24"/>
          <w:highlight w:val="none"/>
        </w:rPr>
      </w:pPr>
    </w:p>
    <w:p w14:paraId="44FFCC0E">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70747F3B">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p>
    <w:p w14:paraId="240999F1">
      <w:pPr>
        <w:keepNext w:val="0"/>
        <w:keepLines w:val="0"/>
        <w:pageBreakBefore w:val="0"/>
        <w:widowControl w:val="0"/>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投标日期：年月日</w:t>
      </w:r>
    </w:p>
    <w:p w14:paraId="58775D9C">
      <w:pPr>
        <w:spacing w:line="360" w:lineRule="auto"/>
        <w:rPr>
          <w:rFonts w:hint="eastAsia" w:ascii="宋体" w:hAnsi="宋体" w:eastAsia="宋体" w:cs="宋体"/>
          <w:color w:val="auto"/>
          <w:sz w:val="24"/>
          <w:szCs w:val="24"/>
          <w:highlight w:val="none"/>
          <w:lang w:val="zh-CN"/>
        </w:rPr>
      </w:pPr>
    </w:p>
    <w:p w14:paraId="65585B42">
      <w:pPr>
        <w:pStyle w:val="16"/>
        <w:spacing w:line="360" w:lineRule="auto"/>
        <w:ind w:firstLine="0"/>
        <w:rPr>
          <w:rFonts w:hint="eastAsia" w:ascii="宋体" w:hAnsi="宋体" w:eastAsia="宋体" w:cs="宋体"/>
          <w:color w:val="auto"/>
          <w:sz w:val="24"/>
          <w:szCs w:val="24"/>
          <w:highlight w:val="none"/>
        </w:rPr>
      </w:pPr>
    </w:p>
    <w:p w14:paraId="6C703EE0">
      <w:pPr>
        <w:pStyle w:val="16"/>
        <w:spacing w:line="360" w:lineRule="auto"/>
        <w:ind w:firstLine="0"/>
        <w:rPr>
          <w:rFonts w:hint="eastAsia" w:ascii="宋体" w:hAnsi="宋体" w:eastAsia="宋体" w:cs="宋体"/>
          <w:b/>
          <w:color w:val="auto"/>
          <w:sz w:val="24"/>
          <w:szCs w:val="24"/>
          <w:highlight w:val="none"/>
        </w:rPr>
      </w:pPr>
    </w:p>
    <w:p w14:paraId="2B4D6DBA">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p>
    <w:p w14:paraId="51899627">
      <w:pP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格式</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w:t>
      </w:r>
      <w:r>
        <w:rPr>
          <w:rFonts w:hint="eastAsia" w:ascii="宋体" w:hAnsi="宋体" w:eastAsia="宋体" w:cs="宋体"/>
          <w:b/>
          <w:bCs/>
          <w:color w:val="auto"/>
          <w:sz w:val="24"/>
          <w:szCs w:val="24"/>
          <w:highlight w:val="none"/>
        </w:rPr>
        <w:t>企业类似业绩一览表</w:t>
      </w:r>
    </w:p>
    <w:p w14:paraId="2C854AA4">
      <w:pPr>
        <w:pStyle w:val="253"/>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类似业绩一览表</w:t>
      </w:r>
    </w:p>
    <w:p w14:paraId="24C09687">
      <w:pPr>
        <w:pStyle w:val="253"/>
        <w:spacing w:line="420" w:lineRule="exact"/>
        <w:jc w:val="lef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采购编号：</w:t>
      </w:r>
    </w:p>
    <w:tbl>
      <w:tblPr>
        <w:tblStyle w:val="66"/>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6112B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3DB62E6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356" w:type="dxa"/>
            <w:noWrap w:val="0"/>
            <w:vAlign w:val="center"/>
          </w:tcPr>
          <w:p w14:paraId="1DF23A9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327" w:type="dxa"/>
            <w:noWrap w:val="0"/>
            <w:vAlign w:val="center"/>
          </w:tcPr>
          <w:p w14:paraId="682EF16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项目时间</w:t>
            </w:r>
          </w:p>
        </w:tc>
        <w:tc>
          <w:tcPr>
            <w:tcW w:w="1347" w:type="dxa"/>
            <w:noWrap w:val="0"/>
            <w:vAlign w:val="center"/>
          </w:tcPr>
          <w:p w14:paraId="47578FE2">
            <w:pPr>
              <w:tabs>
                <w:tab w:val="left" w:pos="6252"/>
              </w:tabs>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w:t>
            </w:r>
          </w:p>
          <w:p w14:paraId="19AFEE05">
            <w:pPr>
              <w:tabs>
                <w:tab w:val="left" w:pos="6252"/>
              </w:tabs>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w:t>
            </w:r>
          </w:p>
        </w:tc>
        <w:tc>
          <w:tcPr>
            <w:tcW w:w="1965" w:type="dxa"/>
            <w:noWrap w:val="0"/>
            <w:vAlign w:val="center"/>
          </w:tcPr>
          <w:p w14:paraId="0D79F18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业主单位</w:t>
            </w:r>
          </w:p>
        </w:tc>
        <w:tc>
          <w:tcPr>
            <w:tcW w:w="1274" w:type="dxa"/>
            <w:noWrap w:val="0"/>
            <w:vAlign w:val="center"/>
          </w:tcPr>
          <w:p w14:paraId="0B8C833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DB57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03FA313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56" w:type="dxa"/>
            <w:noWrap w:val="0"/>
            <w:vAlign w:val="center"/>
          </w:tcPr>
          <w:p w14:paraId="519916AB">
            <w:pPr>
              <w:jc w:val="center"/>
              <w:rPr>
                <w:rFonts w:hint="eastAsia" w:ascii="宋体" w:hAnsi="宋体" w:eastAsia="宋体" w:cs="宋体"/>
                <w:color w:val="auto"/>
                <w:sz w:val="24"/>
                <w:szCs w:val="24"/>
                <w:highlight w:val="none"/>
              </w:rPr>
            </w:pPr>
          </w:p>
        </w:tc>
        <w:tc>
          <w:tcPr>
            <w:tcW w:w="1327" w:type="dxa"/>
            <w:noWrap w:val="0"/>
            <w:vAlign w:val="center"/>
          </w:tcPr>
          <w:p w14:paraId="765BB2C7">
            <w:pPr>
              <w:jc w:val="center"/>
              <w:rPr>
                <w:rFonts w:hint="eastAsia" w:ascii="宋体" w:hAnsi="宋体" w:eastAsia="宋体" w:cs="宋体"/>
                <w:color w:val="auto"/>
                <w:sz w:val="24"/>
                <w:szCs w:val="24"/>
                <w:highlight w:val="none"/>
              </w:rPr>
            </w:pPr>
          </w:p>
        </w:tc>
        <w:tc>
          <w:tcPr>
            <w:tcW w:w="1347" w:type="dxa"/>
            <w:noWrap w:val="0"/>
            <w:vAlign w:val="center"/>
          </w:tcPr>
          <w:p w14:paraId="7F24DCE9">
            <w:pPr>
              <w:jc w:val="center"/>
              <w:rPr>
                <w:rFonts w:hint="eastAsia" w:ascii="宋体" w:hAnsi="宋体" w:eastAsia="宋体" w:cs="宋体"/>
                <w:color w:val="auto"/>
                <w:sz w:val="24"/>
                <w:szCs w:val="24"/>
                <w:highlight w:val="none"/>
              </w:rPr>
            </w:pPr>
          </w:p>
        </w:tc>
        <w:tc>
          <w:tcPr>
            <w:tcW w:w="1965" w:type="dxa"/>
            <w:noWrap w:val="0"/>
            <w:vAlign w:val="center"/>
          </w:tcPr>
          <w:p w14:paraId="38505C4E">
            <w:pPr>
              <w:jc w:val="center"/>
              <w:rPr>
                <w:rFonts w:hint="eastAsia" w:ascii="宋体" w:hAnsi="宋体" w:eastAsia="宋体" w:cs="宋体"/>
                <w:color w:val="auto"/>
                <w:sz w:val="24"/>
                <w:szCs w:val="24"/>
                <w:highlight w:val="none"/>
              </w:rPr>
            </w:pPr>
          </w:p>
        </w:tc>
        <w:tc>
          <w:tcPr>
            <w:tcW w:w="1274" w:type="dxa"/>
            <w:noWrap w:val="0"/>
            <w:vAlign w:val="center"/>
          </w:tcPr>
          <w:p w14:paraId="3CDF3A1D">
            <w:pPr>
              <w:jc w:val="center"/>
              <w:rPr>
                <w:rFonts w:hint="eastAsia" w:ascii="宋体" w:hAnsi="宋体" w:eastAsia="宋体" w:cs="宋体"/>
                <w:color w:val="auto"/>
                <w:sz w:val="24"/>
                <w:szCs w:val="24"/>
                <w:highlight w:val="none"/>
              </w:rPr>
            </w:pPr>
          </w:p>
        </w:tc>
      </w:tr>
      <w:tr w14:paraId="09DC5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1225246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356" w:type="dxa"/>
            <w:noWrap w:val="0"/>
            <w:vAlign w:val="center"/>
          </w:tcPr>
          <w:p w14:paraId="6B1A8432">
            <w:pPr>
              <w:jc w:val="center"/>
              <w:rPr>
                <w:rFonts w:hint="eastAsia" w:ascii="宋体" w:hAnsi="宋体" w:eastAsia="宋体" w:cs="宋体"/>
                <w:color w:val="auto"/>
                <w:sz w:val="24"/>
                <w:szCs w:val="24"/>
                <w:highlight w:val="none"/>
              </w:rPr>
            </w:pPr>
          </w:p>
        </w:tc>
        <w:tc>
          <w:tcPr>
            <w:tcW w:w="1327" w:type="dxa"/>
            <w:noWrap w:val="0"/>
            <w:vAlign w:val="center"/>
          </w:tcPr>
          <w:p w14:paraId="3479CF60">
            <w:pPr>
              <w:jc w:val="center"/>
              <w:rPr>
                <w:rFonts w:hint="eastAsia" w:ascii="宋体" w:hAnsi="宋体" w:eastAsia="宋体" w:cs="宋体"/>
                <w:color w:val="auto"/>
                <w:sz w:val="24"/>
                <w:szCs w:val="24"/>
                <w:highlight w:val="none"/>
              </w:rPr>
            </w:pPr>
          </w:p>
        </w:tc>
        <w:tc>
          <w:tcPr>
            <w:tcW w:w="1347" w:type="dxa"/>
            <w:noWrap w:val="0"/>
            <w:vAlign w:val="center"/>
          </w:tcPr>
          <w:p w14:paraId="7F5695B1">
            <w:pPr>
              <w:jc w:val="center"/>
              <w:rPr>
                <w:rFonts w:hint="eastAsia" w:ascii="宋体" w:hAnsi="宋体" w:eastAsia="宋体" w:cs="宋体"/>
                <w:color w:val="auto"/>
                <w:sz w:val="24"/>
                <w:szCs w:val="24"/>
                <w:highlight w:val="none"/>
              </w:rPr>
            </w:pPr>
          </w:p>
        </w:tc>
        <w:tc>
          <w:tcPr>
            <w:tcW w:w="1965" w:type="dxa"/>
            <w:noWrap w:val="0"/>
            <w:vAlign w:val="center"/>
          </w:tcPr>
          <w:p w14:paraId="1554949E">
            <w:pPr>
              <w:jc w:val="center"/>
              <w:rPr>
                <w:rFonts w:hint="eastAsia" w:ascii="宋体" w:hAnsi="宋体" w:eastAsia="宋体" w:cs="宋体"/>
                <w:color w:val="auto"/>
                <w:sz w:val="24"/>
                <w:szCs w:val="24"/>
                <w:highlight w:val="none"/>
              </w:rPr>
            </w:pPr>
          </w:p>
        </w:tc>
        <w:tc>
          <w:tcPr>
            <w:tcW w:w="1274" w:type="dxa"/>
            <w:noWrap w:val="0"/>
            <w:vAlign w:val="center"/>
          </w:tcPr>
          <w:p w14:paraId="46851A62">
            <w:pPr>
              <w:jc w:val="center"/>
              <w:rPr>
                <w:rFonts w:hint="eastAsia" w:ascii="宋体" w:hAnsi="宋体" w:eastAsia="宋体" w:cs="宋体"/>
                <w:color w:val="auto"/>
                <w:sz w:val="24"/>
                <w:szCs w:val="24"/>
                <w:highlight w:val="none"/>
              </w:rPr>
            </w:pPr>
          </w:p>
        </w:tc>
      </w:tr>
      <w:tr w14:paraId="0D960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708D9FE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356" w:type="dxa"/>
            <w:noWrap w:val="0"/>
            <w:vAlign w:val="center"/>
          </w:tcPr>
          <w:p w14:paraId="61F7AAFC">
            <w:pPr>
              <w:jc w:val="center"/>
              <w:rPr>
                <w:rFonts w:hint="eastAsia" w:ascii="宋体" w:hAnsi="宋体" w:eastAsia="宋体" w:cs="宋体"/>
                <w:color w:val="auto"/>
                <w:sz w:val="24"/>
                <w:szCs w:val="24"/>
                <w:highlight w:val="none"/>
              </w:rPr>
            </w:pPr>
          </w:p>
        </w:tc>
        <w:tc>
          <w:tcPr>
            <w:tcW w:w="1327" w:type="dxa"/>
            <w:noWrap w:val="0"/>
            <w:vAlign w:val="center"/>
          </w:tcPr>
          <w:p w14:paraId="4935B426">
            <w:pPr>
              <w:jc w:val="center"/>
              <w:rPr>
                <w:rFonts w:hint="eastAsia" w:ascii="宋体" w:hAnsi="宋体" w:eastAsia="宋体" w:cs="宋体"/>
                <w:color w:val="auto"/>
                <w:sz w:val="24"/>
                <w:szCs w:val="24"/>
                <w:highlight w:val="none"/>
              </w:rPr>
            </w:pPr>
          </w:p>
        </w:tc>
        <w:tc>
          <w:tcPr>
            <w:tcW w:w="1347" w:type="dxa"/>
            <w:noWrap w:val="0"/>
            <w:vAlign w:val="center"/>
          </w:tcPr>
          <w:p w14:paraId="671595EF">
            <w:pPr>
              <w:jc w:val="center"/>
              <w:rPr>
                <w:rFonts w:hint="eastAsia" w:ascii="宋体" w:hAnsi="宋体" w:eastAsia="宋体" w:cs="宋体"/>
                <w:color w:val="auto"/>
                <w:sz w:val="24"/>
                <w:szCs w:val="24"/>
                <w:highlight w:val="none"/>
              </w:rPr>
            </w:pPr>
          </w:p>
        </w:tc>
        <w:tc>
          <w:tcPr>
            <w:tcW w:w="1965" w:type="dxa"/>
            <w:noWrap w:val="0"/>
            <w:vAlign w:val="center"/>
          </w:tcPr>
          <w:p w14:paraId="1A6FFECB">
            <w:pPr>
              <w:jc w:val="center"/>
              <w:rPr>
                <w:rFonts w:hint="eastAsia" w:ascii="宋体" w:hAnsi="宋体" w:eastAsia="宋体" w:cs="宋体"/>
                <w:color w:val="auto"/>
                <w:sz w:val="24"/>
                <w:szCs w:val="24"/>
                <w:highlight w:val="none"/>
              </w:rPr>
            </w:pPr>
          </w:p>
        </w:tc>
        <w:tc>
          <w:tcPr>
            <w:tcW w:w="1274" w:type="dxa"/>
            <w:noWrap w:val="0"/>
            <w:vAlign w:val="center"/>
          </w:tcPr>
          <w:p w14:paraId="3D6E9C9D">
            <w:pPr>
              <w:jc w:val="center"/>
              <w:rPr>
                <w:rFonts w:hint="eastAsia" w:ascii="宋体" w:hAnsi="宋体" w:eastAsia="宋体" w:cs="宋体"/>
                <w:color w:val="auto"/>
                <w:sz w:val="24"/>
                <w:szCs w:val="24"/>
                <w:highlight w:val="none"/>
              </w:rPr>
            </w:pPr>
          </w:p>
        </w:tc>
      </w:tr>
      <w:tr w14:paraId="30274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0F00F0B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356" w:type="dxa"/>
            <w:noWrap w:val="0"/>
            <w:vAlign w:val="center"/>
          </w:tcPr>
          <w:p w14:paraId="2AEA9BB1">
            <w:pPr>
              <w:jc w:val="center"/>
              <w:rPr>
                <w:rFonts w:hint="eastAsia" w:ascii="宋体" w:hAnsi="宋体" w:eastAsia="宋体" w:cs="宋体"/>
                <w:color w:val="auto"/>
                <w:sz w:val="24"/>
                <w:szCs w:val="24"/>
                <w:highlight w:val="none"/>
              </w:rPr>
            </w:pPr>
          </w:p>
        </w:tc>
        <w:tc>
          <w:tcPr>
            <w:tcW w:w="1327" w:type="dxa"/>
            <w:noWrap w:val="0"/>
            <w:vAlign w:val="center"/>
          </w:tcPr>
          <w:p w14:paraId="4552CA63">
            <w:pPr>
              <w:jc w:val="center"/>
              <w:rPr>
                <w:rFonts w:hint="eastAsia" w:ascii="宋体" w:hAnsi="宋体" w:eastAsia="宋体" w:cs="宋体"/>
                <w:color w:val="auto"/>
                <w:sz w:val="24"/>
                <w:szCs w:val="24"/>
                <w:highlight w:val="none"/>
              </w:rPr>
            </w:pPr>
          </w:p>
        </w:tc>
        <w:tc>
          <w:tcPr>
            <w:tcW w:w="1347" w:type="dxa"/>
            <w:noWrap w:val="0"/>
            <w:vAlign w:val="center"/>
          </w:tcPr>
          <w:p w14:paraId="79E3A47C">
            <w:pPr>
              <w:jc w:val="center"/>
              <w:rPr>
                <w:rFonts w:hint="eastAsia" w:ascii="宋体" w:hAnsi="宋体" w:eastAsia="宋体" w:cs="宋体"/>
                <w:color w:val="auto"/>
                <w:sz w:val="24"/>
                <w:szCs w:val="24"/>
                <w:highlight w:val="none"/>
              </w:rPr>
            </w:pPr>
          </w:p>
        </w:tc>
        <w:tc>
          <w:tcPr>
            <w:tcW w:w="1965" w:type="dxa"/>
            <w:noWrap w:val="0"/>
            <w:vAlign w:val="center"/>
          </w:tcPr>
          <w:p w14:paraId="321EC6AC">
            <w:pPr>
              <w:jc w:val="center"/>
              <w:rPr>
                <w:rFonts w:hint="eastAsia" w:ascii="宋体" w:hAnsi="宋体" w:eastAsia="宋体" w:cs="宋体"/>
                <w:color w:val="auto"/>
                <w:sz w:val="24"/>
                <w:szCs w:val="24"/>
                <w:highlight w:val="none"/>
              </w:rPr>
            </w:pPr>
          </w:p>
        </w:tc>
        <w:tc>
          <w:tcPr>
            <w:tcW w:w="1274" w:type="dxa"/>
            <w:noWrap w:val="0"/>
            <w:vAlign w:val="center"/>
          </w:tcPr>
          <w:p w14:paraId="38EAF253">
            <w:pPr>
              <w:jc w:val="center"/>
              <w:rPr>
                <w:rFonts w:hint="eastAsia" w:ascii="宋体" w:hAnsi="宋体" w:eastAsia="宋体" w:cs="宋体"/>
                <w:color w:val="auto"/>
                <w:sz w:val="24"/>
                <w:szCs w:val="24"/>
                <w:highlight w:val="none"/>
              </w:rPr>
            </w:pPr>
          </w:p>
        </w:tc>
      </w:tr>
      <w:tr w14:paraId="2CF2F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63CAC70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356" w:type="dxa"/>
            <w:noWrap w:val="0"/>
            <w:vAlign w:val="center"/>
          </w:tcPr>
          <w:p w14:paraId="51C46E57">
            <w:pPr>
              <w:jc w:val="center"/>
              <w:rPr>
                <w:rFonts w:hint="eastAsia" w:ascii="宋体" w:hAnsi="宋体" w:eastAsia="宋体" w:cs="宋体"/>
                <w:color w:val="auto"/>
                <w:sz w:val="24"/>
                <w:szCs w:val="24"/>
                <w:highlight w:val="none"/>
              </w:rPr>
            </w:pPr>
          </w:p>
        </w:tc>
        <w:tc>
          <w:tcPr>
            <w:tcW w:w="1327" w:type="dxa"/>
            <w:noWrap w:val="0"/>
            <w:vAlign w:val="center"/>
          </w:tcPr>
          <w:p w14:paraId="1AEFDCF8">
            <w:pPr>
              <w:jc w:val="center"/>
              <w:rPr>
                <w:rFonts w:hint="eastAsia" w:ascii="宋体" w:hAnsi="宋体" w:eastAsia="宋体" w:cs="宋体"/>
                <w:color w:val="auto"/>
                <w:sz w:val="24"/>
                <w:szCs w:val="24"/>
                <w:highlight w:val="none"/>
              </w:rPr>
            </w:pPr>
          </w:p>
        </w:tc>
        <w:tc>
          <w:tcPr>
            <w:tcW w:w="1347" w:type="dxa"/>
            <w:noWrap w:val="0"/>
            <w:vAlign w:val="center"/>
          </w:tcPr>
          <w:p w14:paraId="730DCB03">
            <w:pPr>
              <w:jc w:val="center"/>
              <w:rPr>
                <w:rFonts w:hint="eastAsia" w:ascii="宋体" w:hAnsi="宋体" w:eastAsia="宋体" w:cs="宋体"/>
                <w:color w:val="auto"/>
                <w:sz w:val="24"/>
                <w:szCs w:val="24"/>
                <w:highlight w:val="none"/>
              </w:rPr>
            </w:pPr>
          </w:p>
        </w:tc>
        <w:tc>
          <w:tcPr>
            <w:tcW w:w="1965" w:type="dxa"/>
            <w:noWrap w:val="0"/>
            <w:vAlign w:val="center"/>
          </w:tcPr>
          <w:p w14:paraId="2CDB07EF">
            <w:pPr>
              <w:jc w:val="center"/>
              <w:rPr>
                <w:rFonts w:hint="eastAsia" w:ascii="宋体" w:hAnsi="宋体" w:eastAsia="宋体" w:cs="宋体"/>
                <w:color w:val="auto"/>
                <w:sz w:val="24"/>
                <w:szCs w:val="24"/>
                <w:highlight w:val="none"/>
              </w:rPr>
            </w:pPr>
          </w:p>
        </w:tc>
        <w:tc>
          <w:tcPr>
            <w:tcW w:w="1274" w:type="dxa"/>
            <w:noWrap w:val="0"/>
            <w:vAlign w:val="center"/>
          </w:tcPr>
          <w:p w14:paraId="3A4541DB">
            <w:pPr>
              <w:jc w:val="center"/>
              <w:rPr>
                <w:rFonts w:hint="eastAsia" w:ascii="宋体" w:hAnsi="宋体" w:eastAsia="宋体" w:cs="宋体"/>
                <w:color w:val="auto"/>
                <w:sz w:val="24"/>
                <w:szCs w:val="24"/>
                <w:highlight w:val="none"/>
              </w:rPr>
            </w:pPr>
          </w:p>
        </w:tc>
      </w:tr>
      <w:tr w14:paraId="01684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1570AE9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356" w:type="dxa"/>
            <w:noWrap w:val="0"/>
            <w:vAlign w:val="center"/>
          </w:tcPr>
          <w:p w14:paraId="55EC3AAB">
            <w:pPr>
              <w:jc w:val="center"/>
              <w:rPr>
                <w:rFonts w:hint="eastAsia" w:ascii="宋体" w:hAnsi="宋体" w:eastAsia="宋体" w:cs="宋体"/>
                <w:color w:val="auto"/>
                <w:sz w:val="24"/>
                <w:szCs w:val="24"/>
                <w:highlight w:val="none"/>
              </w:rPr>
            </w:pPr>
          </w:p>
        </w:tc>
        <w:tc>
          <w:tcPr>
            <w:tcW w:w="1327" w:type="dxa"/>
            <w:noWrap w:val="0"/>
            <w:vAlign w:val="center"/>
          </w:tcPr>
          <w:p w14:paraId="356846A0">
            <w:pPr>
              <w:jc w:val="center"/>
              <w:rPr>
                <w:rFonts w:hint="eastAsia" w:ascii="宋体" w:hAnsi="宋体" w:eastAsia="宋体" w:cs="宋体"/>
                <w:color w:val="auto"/>
                <w:sz w:val="24"/>
                <w:szCs w:val="24"/>
                <w:highlight w:val="none"/>
              </w:rPr>
            </w:pPr>
          </w:p>
        </w:tc>
        <w:tc>
          <w:tcPr>
            <w:tcW w:w="1347" w:type="dxa"/>
            <w:noWrap w:val="0"/>
            <w:vAlign w:val="center"/>
          </w:tcPr>
          <w:p w14:paraId="3124C28A">
            <w:pPr>
              <w:jc w:val="center"/>
              <w:rPr>
                <w:rFonts w:hint="eastAsia" w:ascii="宋体" w:hAnsi="宋体" w:eastAsia="宋体" w:cs="宋体"/>
                <w:color w:val="auto"/>
                <w:sz w:val="24"/>
                <w:szCs w:val="24"/>
                <w:highlight w:val="none"/>
              </w:rPr>
            </w:pPr>
          </w:p>
        </w:tc>
        <w:tc>
          <w:tcPr>
            <w:tcW w:w="1965" w:type="dxa"/>
            <w:noWrap w:val="0"/>
            <w:vAlign w:val="center"/>
          </w:tcPr>
          <w:p w14:paraId="376C9B31">
            <w:pPr>
              <w:jc w:val="center"/>
              <w:rPr>
                <w:rFonts w:hint="eastAsia" w:ascii="宋体" w:hAnsi="宋体" w:eastAsia="宋体" w:cs="宋体"/>
                <w:color w:val="auto"/>
                <w:sz w:val="24"/>
                <w:szCs w:val="24"/>
                <w:highlight w:val="none"/>
              </w:rPr>
            </w:pPr>
          </w:p>
        </w:tc>
        <w:tc>
          <w:tcPr>
            <w:tcW w:w="1274" w:type="dxa"/>
            <w:noWrap w:val="0"/>
            <w:vAlign w:val="center"/>
          </w:tcPr>
          <w:p w14:paraId="09ABD688">
            <w:pPr>
              <w:jc w:val="center"/>
              <w:rPr>
                <w:rFonts w:hint="eastAsia" w:ascii="宋体" w:hAnsi="宋体" w:eastAsia="宋体" w:cs="宋体"/>
                <w:color w:val="auto"/>
                <w:sz w:val="24"/>
                <w:szCs w:val="24"/>
                <w:highlight w:val="none"/>
              </w:rPr>
            </w:pPr>
          </w:p>
        </w:tc>
      </w:tr>
      <w:tr w14:paraId="7D7C6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3D92F14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356" w:type="dxa"/>
            <w:noWrap w:val="0"/>
            <w:vAlign w:val="center"/>
          </w:tcPr>
          <w:p w14:paraId="60CD1316">
            <w:pPr>
              <w:jc w:val="center"/>
              <w:rPr>
                <w:rFonts w:hint="eastAsia" w:ascii="宋体" w:hAnsi="宋体" w:eastAsia="宋体" w:cs="宋体"/>
                <w:color w:val="auto"/>
                <w:sz w:val="24"/>
                <w:szCs w:val="24"/>
                <w:highlight w:val="none"/>
              </w:rPr>
            </w:pPr>
          </w:p>
        </w:tc>
        <w:tc>
          <w:tcPr>
            <w:tcW w:w="1327" w:type="dxa"/>
            <w:noWrap w:val="0"/>
            <w:vAlign w:val="center"/>
          </w:tcPr>
          <w:p w14:paraId="329CBB5C">
            <w:pPr>
              <w:jc w:val="center"/>
              <w:rPr>
                <w:rFonts w:hint="eastAsia" w:ascii="宋体" w:hAnsi="宋体" w:eastAsia="宋体" w:cs="宋体"/>
                <w:color w:val="auto"/>
                <w:sz w:val="24"/>
                <w:szCs w:val="24"/>
                <w:highlight w:val="none"/>
              </w:rPr>
            </w:pPr>
          </w:p>
        </w:tc>
        <w:tc>
          <w:tcPr>
            <w:tcW w:w="1347" w:type="dxa"/>
            <w:noWrap w:val="0"/>
            <w:vAlign w:val="center"/>
          </w:tcPr>
          <w:p w14:paraId="5D4DABE9">
            <w:pPr>
              <w:jc w:val="center"/>
              <w:rPr>
                <w:rFonts w:hint="eastAsia" w:ascii="宋体" w:hAnsi="宋体" w:eastAsia="宋体" w:cs="宋体"/>
                <w:color w:val="auto"/>
                <w:sz w:val="24"/>
                <w:szCs w:val="24"/>
                <w:highlight w:val="none"/>
              </w:rPr>
            </w:pPr>
          </w:p>
        </w:tc>
        <w:tc>
          <w:tcPr>
            <w:tcW w:w="1965" w:type="dxa"/>
            <w:noWrap w:val="0"/>
            <w:vAlign w:val="center"/>
          </w:tcPr>
          <w:p w14:paraId="5B672763">
            <w:pPr>
              <w:jc w:val="center"/>
              <w:rPr>
                <w:rFonts w:hint="eastAsia" w:ascii="宋体" w:hAnsi="宋体" w:eastAsia="宋体" w:cs="宋体"/>
                <w:color w:val="auto"/>
                <w:sz w:val="24"/>
                <w:szCs w:val="24"/>
                <w:highlight w:val="none"/>
              </w:rPr>
            </w:pPr>
          </w:p>
        </w:tc>
        <w:tc>
          <w:tcPr>
            <w:tcW w:w="1274" w:type="dxa"/>
            <w:noWrap w:val="0"/>
            <w:vAlign w:val="center"/>
          </w:tcPr>
          <w:p w14:paraId="215957E5">
            <w:pPr>
              <w:jc w:val="center"/>
              <w:rPr>
                <w:rFonts w:hint="eastAsia" w:ascii="宋体" w:hAnsi="宋体" w:eastAsia="宋体" w:cs="宋体"/>
                <w:color w:val="auto"/>
                <w:sz w:val="24"/>
                <w:szCs w:val="24"/>
                <w:highlight w:val="none"/>
              </w:rPr>
            </w:pPr>
          </w:p>
        </w:tc>
      </w:tr>
      <w:tr w14:paraId="7D0A0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4E45659C">
            <w:pPr>
              <w:jc w:val="center"/>
              <w:rPr>
                <w:rFonts w:hint="eastAsia" w:ascii="宋体" w:hAnsi="宋体" w:eastAsia="宋体" w:cs="宋体"/>
                <w:color w:val="auto"/>
                <w:sz w:val="24"/>
                <w:szCs w:val="24"/>
                <w:highlight w:val="none"/>
              </w:rPr>
            </w:pPr>
          </w:p>
        </w:tc>
        <w:tc>
          <w:tcPr>
            <w:tcW w:w="1356" w:type="dxa"/>
            <w:noWrap w:val="0"/>
            <w:vAlign w:val="center"/>
          </w:tcPr>
          <w:p w14:paraId="6AECA863">
            <w:pPr>
              <w:jc w:val="center"/>
              <w:rPr>
                <w:rFonts w:hint="eastAsia" w:ascii="宋体" w:hAnsi="宋体" w:eastAsia="宋体" w:cs="宋体"/>
                <w:color w:val="auto"/>
                <w:sz w:val="24"/>
                <w:szCs w:val="24"/>
                <w:highlight w:val="none"/>
              </w:rPr>
            </w:pPr>
          </w:p>
        </w:tc>
        <w:tc>
          <w:tcPr>
            <w:tcW w:w="1327" w:type="dxa"/>
            <w:noWrap w:val="0"/>
            <w:vAlign w:val="center"/>
          </w:tcPr>
          <w:p w14:paraId="4379FE07">
            <w:pPr>
              <w:jc w:val="center"/>
              <w:rPr>
                <w:rFonts w:hint="eastAsia" w:ascii="宋体" w:hAnsi="宋体" w:eastAsia="宋体" w:cs="宋体"/>
                <w:color w:val="auto"/>
                <w:sz w:val="24"/>
                <w:szCs w:val="24"/>
                <w:highlight w:val="none"/>
              </w:rPr>
            </w:pPr>
          </w:p>
        </w:tc>
        <w:tc>
          <w:tcPr>
            <w:tcW w:w="1347" w:type="dxa"/>
            <w:noWrap w:val="0"/>
            <w:vAlign w:val="center"/>
          </w:tcPr>
          <w:p w14:paraId="108F65B6">
            <w:pPr>
              <w:jc w:val="center"/>
              <w:rPr>
                <w:rFonts w:hint="eastAsia" w:ascii="宋体" w:hAnsi="宋体" w:eastAsia="宋体" w:cs="宋体"/>
                <w:color w:val="auto"/>
                <w:sz w:val="24"/>
                <w:szCs w:val="24"/>
                <w:highlight w:val="none"/>
              </w:rPr>
            </w:pPr>
          </w:p>
        </w:tc>
        <w:tc>
          <w:tcPr>
            <w:tcW w:w="1965" w:type="dxa"/>
            <w:noWrap w:val="0"/>
            <w:vAlign w:val="center"/>
          </w:tcPr>
          <w:p w14:paraId="0376A3E2">
            <w:pPr>
              <w:jc w:val="center"/>
              <w:rPr>
                <w:rFonts w:hint="eastAsia" w:ascii="宋体" w:hAnsi="宋体" w:eastAsia="宋体" w:cs="宋体"/>
                <w:color w:val="auto"/>
                <w:sz w:val="24"/>
                <w:szCs w:val="24"/>
                <w:highlight w:val="none"/>
              </w:rPr>
            </w:pPr>
          </w:p>
        </w:tc>
        <w:tc>
          <w:tcPr>
            <w:tcW w:w="1274" w:type="dxa"/>
            <w:noWrap w:val="0"/>
            <w:vAlign w:val="center"/>
          </w:tcPr>
          <w:p w14:paraId="3F401B7D">
            <w:pPr>
              <w:jc w:val="center"/>
              <w:rPr>
                <w:rFonts w:hint="eastAsia" w:ascii="宋体" w:hAnsi="宋体" w:eastAsia="宋体" w:cs="宋体"/>
                <w:color w:val="auto"/>
                <w:sz w:val="24"/>
                <w:szCs w:val="24"/>
                <w:highlight w:val="none"/>
              </w:rPr>
            </w:pPr>
          </w:p>
        </w:tc>
      </w:tr>
      <w:tr w14:paraId="550C5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52C7BC40">
            <w:pPr>
              <w:jc w:val="center"/>
              <w:rPr>
                <w:rFonts w:hint="eastAsia" w:ascii="宋体" w:hAnsi="宋体" w:eastAsia="宋体" w:cs="宋体"/>
                <w:color w:val="auto"/>
                <w:sz w:val="24"/>
                <w:szCs w:val="24"/>
                <w:highlight w:val="none"/>
              </w:rPr>
            </w:pPr>
          </w:p>
        </w:tc>
        <w:tc>
          <w:tcPr>
            <w:tcW w:w="1356" w:type="dxa"/>
            <w:noWrap w:val="0"/>
            <w:vAlign w:val="center"/>
          </w:tcPr>
          <w:p w14:paraId="44B57B4F">
            <w:pPr>
              <w:jc w:val="center"/>
              <w:rPr>
                <w:rFonts w:hint="eastAsia" w:ascii="宋体" w:hAnsi="宋体" w:eastAsia="宋体" w:cs="宋体"/>
                <w:color w:val="auto"/>
                <w:sz w:val="24"/>
                <w:szCs w:val="24"/>
                <w:highlight w:val="none"/>
              </w:rPr>
            </w:pPr>
          </w:p>
        </w:tc>
        <w:tc>
          <w:tcPr>
            <w:tcW w:w="1327" w:type="dxa"/>
            <w:noWrap w:val="0"/>
            <w:vAlign w:val="center"/>
          </w:tcPr>
          <w:p w14:paraId="20A6353D">
            <w:pPr>
              <w:jc w:val="center"/>
              <w:rPr>
                <w:rFonts w:hint="eastAsia" w:ascii="宋体" w:hAnsi="宋体" w:eastAsia="宋体" w:cs="宋体"/>
                <w:color w:val="auto"/>
                <w:sz w:val="24"/>
                <w:szCs w:val="24"/>
                <w:highlight w:val="none"/>
              </w:rPr>
            </w:pPr>
          </w:p>
        </w:tc>
        <w:tc>
          <w:tcPr>
            <w:tcW w:w="1347" w:type="dxa"/>
            <w:noWrap w:val="0"/>
            <w:vAlign w:val="center"/>
          </w:tcPr>
          <w:p w14:paraId="60C715D0">
            <w:pPr>
              <w:jc w:val="center"/>
              <w:rPr>
                <w:rFonts w:hint="eastAsia" w:ascii="宋体" w:hAnsi="宋体" w:eastAsia="宋体" w:cs="宋体"/>
                <w:color w:val="auto"/>
                <w:sz w:val="24"/>
                <w:szCs w:val="24"/>
                <w:highlight w:val="none"/>
              </w:rPr>
            </w:pPr>
          </w:p>
        </w:tc>
        <w:tc>
          <w:tcPr>
            <w:tcW w:w="1965" w:type="dxa"/>
            <w:noWrap w:val="0"/>
            <w:vAlign w:val="center"/>
          </w:tcPr>
          <w:p w14:paraId="7F854E38">
            <w:pPr>
              <w:jc w:val="center"/>
              <w:rPr>
                <w:rFonts w:hint="eastAsia" w:ascii="宋体" w:hAnsi="宋体" w:eastAsia="宋体" w:cs="宋体"/>
                <w:color w:val="auto"/>
                <w:sz w:val="24"/>
                <w:szCs w:val="24"/>
                <w:highlight w:val="none"/>
              </w:rPr>
            </w:pPr>
          </w:p>
        </w:tc>
        <w:tc>
          <w:tcPr>
            <w:tcW w:w="1274" w:type="dxa"/>
            <w:noWrap w:val="0"/>
            <w:vAlign w:val="center"/>
          </w:tcPr>
          <w:p w14:paraId="6CC6841C">
            <w:pPr>
              <w:jc w:val="center"/>
              <w:rPr>
                <w:rFonts w:hint="eastAsia" w:ascii="宋体" w:hAnsi="宋体" w:eastAsia="宋体" w:cs="宋体"/>
                <w:color w:val="auto"/>
                <w:sz w:val="24"/>
                <w:szCs w:val="24"/>
                <w:highlight w:val="none"/>
              </w:rPr>
            </w:pPr>
          </w:p>
        </w:tc>
      </w:tr>
    </w:tbl>
    <w:p w14:paraId="26AA1E56">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注：按招标文件和评分标准要求提供相应证明材料</w:t>
      </w:r>
    </w:p>
    <w:p w14:paraId="7E26087F">
      <w:pPr>
        <w:spacing w:line="360" w:lineRule="auto"/>
        <w:ind w:firstLine="420"/>
        <w:rPr>
          <w:rFonts w:hint="eastAsia" w:ascii="宋体" w:hAnsi="宋体" w:eastAsia="宋体" w:cs="宋体"/>
          <w:color w:val="auto"/>
          <w:sz w:val="24"/>
          <w:szCs w:val="24"/>
          <w:highlight w:val="none"/>
        </w:rPr>
      </w:pPr>
    </w:p>
    <w:p w14:paraId="34CC3CA4">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56101069">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p>
    <w:p w14:paraId="45A72E3E">
      <w:pPr>
        <w:keepNext w:val="0"/>
        <w:keepLines w:val="0"/>
        <w:pageBreakBefore w:val="0"/>
        <w:widowControl w:val="0"/>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投标日期：年月日</w:t>
      </w:r>
    </w:p>
    <w:p w14:paraId="262540A8">
      <w:pPr>
        <w:spacing w:line="360" w:lineRule="auto"/>
        <w:ind w:firstLine="480"/>
        <w:rPr>
          <w:rFonts w:hint="eastAsia" w:ascii="宋体" w:hAnsi="宋体" w:eastAsia="宋体" w:cs="宋体"/>
          <w:color w:val="auto"/>
          <w:sz w:val="24"/>
          <w:szCs w:val="24"/>
          <w:highlight w:val="none"/>
        </w:rPr>
      </w:pPr>
    </w:p>
    <w:p w14:paraId="79F5B115">
      <w:pPr>
        <w:pStyle w:val="16"/>
        <w:ind w:firstLine="0"/>
        <w:rPr>
          <w:rFonts w:hint="eastAsia" w:ascii="宋体" w:hAnsi="宋体" w:eastAsia="宋体" w:cs="宋体"/>
          <w:b/>
          <w:bCs/>
          <w:color w:val="auto"/>
          <w:sz w:val="24"/>
          <w:szCs w:val="24"/>
          <w:highlight w:val="none"/>
        </w:rPr>
      </w:pPr>
    </w:p>
    <w:p w14:paraId="29DE3A35">
      <w:pPr>
        <w:pStyle w:val="16"/>
        <w:ind w:firstLine="0"/>
        <w:rPr>
          <w:rFonts w:hint="eastAsia" w:ascii="宋体" w:hAnsi="宋体" w:eastAsia="宋体" w:cs="宋体"/>
          <w:b/>
          <w:bCs/>
          <w:color w:val="auto"/>
          <w:sz w:val="24"/>
          <w:szCs w:val="24"/>
          <w:highlight w:val="none"/>
        </w:rPr>
      </w:pPr>
    </w:p>
    <w:p w14:paraId="649B6435">
      <w:pPr>
        <w:pStyle w:val="16"/>
        <w:ind w:firstLine="0"/>
        <w:rPr>
          <w:rFonts w:hint="eastAsia" w:ascii="宋体" w:hAnsi="宋体" w:eastAsia="宋体" w:cs="宋体"/>
          <w:b/>
          <w:bCs/>
          <w:color w:val="auto"/>
          <w:sz w:val="24"/>
          <w:szCs w:val="24"/>
          <w:highlight w:val="none"/>
        </w:rPr>
      </w:pPr>
    </w:p>
    <w:p w14:paraId="7D34C564">
      <w:pPr>
        <w:pStyle w:val="16"/>
        <w:ind w:firstLine="0"/>
        <w:rPr>
          <w:rFonts w:hint="eastAsia" w:ascii="宋体" w:hAnsi="宋体" w:eastAsia="宋体" w:cs="宋体"/>
          <w:b/>
          <w:bCs/>
          <w:color w:val="auto"/>
          <w:sz w:val="24"/>
          <w:szCs w:val="24"/>
          <w:highlight w:val="none"/>
        </w:rPr>
      </w:pPr>
    </w:p>
    <w:p w14:paraId="5BB36754">
      <w:pPr>
        <w:pStyle w:val="16"/>
        <w:ind w:firstLine="0"/>
        <w:rPr>
          <w:rFonts w:hint="eastAsia" w:ascii="宋体" w:hAnsi="宋体" w:eastAsia="宋体" w:cs="宋体"/>
          <w:b/>
          <w:bCs/>
          <w:color w:val="auto"/>
          <w:sz w:val="24"/>
          <w:szCs w:val="24"/>
          <w:highlight w:val="none"/>
        </w:rPr>
      </w:pPr>
    </w:p>
    <w:p w14:paraId="6301C17C">
      <w:pPr>
        <w:pStyle w:val="16"/>
        <w:ind w:firstLine="0"/>
        <w:rPr>
          <w:rFonts w:hint="eastAsia" w:ascii="宋体" w:hAnsi="宋体" w:eastAsia="宋体" w:cs="宋体"/>
          <w:b/>
          <w:bCs/>
          <w:color w:val="auto"/>
          <w:sz w:val="24"/>
          <w:szCs w:val="24"/>
          <w:highlight w:val="none"/>
        </w:rPr>
      </w:pPr>
    </w:p>
    <w:p w14:paraId="7D4ADB45">
      <w:pPr>
        <w:pStyle w:val="16"/>
        <w:ind w:firstLine="0"/>
        <w:rPr>
          <w:rFonts w:hint="eastAsia" w:ascii="宋体" w:hAnsi="宋体" w:eastAsia="宋体" w:cs="宋体"/>
          <w:b/>
          <w:bCs/>
          <w:color w:val="auto"/>
          <w:sz w:val="24"/>
          <w:szCs w:val="24"/>
          <w:highlight w:val="none"/>
        </w:rPr>
      </w:pPr>
    </w:p>
    <w:p w14:paraId="644E648D">
      <w:pPr>
        <w:pStyle w:val="16"/>
        <w:ind w:firstLine="0"/>
        <w:rPr>
          <w:rFonts w:hint="eastAsia" w:ascii="宋体" w:hAnsi="宋体" w:eastAsia="宋体" w:cs="宋体"/>
          <w:b/>
          <w:bCs/>
          <w:color w:val="auto"/>
          <w:sz w:val="24"/>
          <w:szCs w:val="24"/>
          <w:highlight w:val="none"/>
        </w:rPr>
      </w:pPr>
    </w:p>
    <w:p w14:paraId="3A70A5D5">
      <w:pPr>
        <w:pStyle w:val="16"/>
        <w:ind w:firstLine="0"/>
        <w:rPr>
          <w:rFonts w:hint="eastAsia" w:ascii="宋体" w:hAnsi="宋体" w:eastAsia="宋体" w:cs="宋体"/>
          <w:b/>
          <w:bCs/>
          <w:color w:val="auto"/>
          <w:sz w:val="24"/>
          <w:szCs w:val="24"/>
          <w:highlight w:val="none"/>
        </w:rPr>
      </w:pPr>
    </w:p>
    <w:p w14:paraId="3B68CDA9">
      <w:pPr>
        <w:pStyle w:val="16"/>
        <w:ind w:firstLine="0"/>
        <w:rPr>
          <w:rFonts w:hint="eastAsia" w:ascii="宋体" w:hAnsi="宋体" w:eastAsia="宋体" w:cs="宋体"/>
          <w:b/>
          <w:bCs/>
          <w:color w:val="auto"/>
          <w:sz w:val="24"/>
          <w:szCs w:val="24"/>
          <w:highlight w:val="none"/>
        </w:rPr>
      </w:pPr>
    </w:p>
    <w:p w14:paraId="2DF1900F">
      <w:pPr>
        <w:pStyle w:val="16"/>
        <w:ind w:firstLine="0"/>
        <w:rPr>
          <w:rFonts w:hint="eastAsia" w:ascii="宋体" w:hAnsi="宋体" w:eastAsia="宋体" w:cs="宋体"/>
          <w:b/>
          <w:bCs/>
          <w:color w:val="auto"/>
          <w:sz w:val="24"/>
          <w:szCs w:val="24"/>
          <w:highlight w:val="none"/>
        </w:rPr>
      </w:pPr>
    </w:p>
    <w:p w14:paraId="60786663">
      <w:pPr>
        <w:pStyle w:val="16"/>
        <w:ind w:firstLine="0"/>
        <w:rPr>
          <w:rFonts w:hint="eastAsia" w:ascii="宋体" w:hAnsi="宋体" w:eastAsia="宋体" w:cs="宋体"/>
          <w:b/>
          <w:bCs/>
          <w:color w:val="auto"/>
          <w:sz w:val="24"/>
          <w:szCs w:val="24"/>
          <w:highlight w:val="none"/>
        </w:rPr>
      </w:pPr>
    </w:p>
    <w:p w14:paraId="3D05DFBA">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355A5E94">
      <w:pP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格式</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w:t>
      </w:r>
      <w:r>
        <w:rPr>
          <w:rFonts w:hint="eastAsia" w:ascii="宋体" w:hAnsi="宋体" w:eastAsia="宋体" w:cs="宋体"/>
          <w:b/>
          <w:bCs/>
          <w:color w:val="auto"/>
          <w:sz w:val="24"/>
          <w:szCs w:val="24"/>
          <w:highlight w:val="none"/>
        </w:rPr>
        <w:t>拟投入本项目的人员情况一览表</w:t>
      </w:r>
    </w:p>
    <w:p w14:paraId="33D522B5">
      <w:pPr>
        <w:pStyle w:val="227"/>
        <w:ind w:firstLine="420"/>
        <w:rPr>
          <w:rFonts w:hint="eastAsia" w:ascii="宋体" w:hAnsi="宋体" w:eastAsia="宋体" w:cs="宋体"/>
          <w:color w:val="auto"/>
          <w:sz w:val="24"/>
          <w:szCs w:val="24"/>
          <w:highlight w:val="none"/>
        </w:rPr>
      </w:pPr>
    </w:p>
    <w:p w14:paraId="5D0BEE48">
      <w:pPr>
        <w:pStyle w:val="253"/>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拟投入本项目的人员情况一览表</w:t>
      </w:r>
    </w:p>
    <w:p w14:paraId="60B3CBCF">
      <w:pPr>
        <w:pStyle w:val="253"/>
        <w:spacing w:line="420" w:lineRule="exact"/>
        <w:jc w:val="lef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采购编号：</w:t>
      </w:r>
    </w:p>
    <w:tbl>
      <w:tblPr>
        <w:tblStyle w:val="66"/>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346"/>
        <w:gridCol w:w="1553"/>
        <w:gridCol w:w="1044"/>
        <w:gridCol w:w="960"/>
        <w:gridCol w:w="1116"/>
        <w:gridCol w:w="1632"/>
        <w:gridCol w:w="1037"/>
      </w:tblGrid>
      <w:tr w14:paraId="2A264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noWrap w:val="0"/>
            <w:vAlign w:val="center"/>
          </w:tcPr>
          <w:p w14:paraId="1385062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346" w:type="dxa"/>
            <w:tcBorders>
              <w:top w:val="single" w:color="000000" w:sz="2" w:space="0"/>
              <w:left w:val="single" w:color="auto" w:sz="4" w:space="0"/>
              <w:bottom w:val="single" w:color="000000" w:sz="2" w:space="0"/>
              <w:right w:val="single" w:color="auto" w:sz="4" w:space="0"/>
            </w:tcBorders>
            <w:noWrap w:val="0"/>
            <w:vAlign w:val="center"/>
          </w:tcPr>
          <w:p w14:paraId="22717F6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岗位</w:t>
            </w:r>
          </w:p>
        </w:tc>
        <w:tc>
          <w:tcPr>
            <w:tcW w:w="1553" w:type="dxa"/>
            <w:tcBorders>
              <w:top w:val="single" w:color="000000" w:sz="2" w:space="0"/>
              <w:left w:val="single" w:color="auto" w:sz="4" w:space="0"/>
              <w:bottom w:val="single" w:color="000000" w:sz="2" w:space="0"/>
              <w:right w:val="single" w:color="000000" w:sz="2" w:space="0"/>
            </w:tcBorders>
            <w:noWrap w:val="0"/>
            <w:vAlign w:val="center"/>
          </w:tcPr>
          <w:p w14:paraId="6D041BF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044" w:type="dxa"/>
            <w:tcBorders>
              <w:top w:val="single" w:color="000000" w:sz="2" w:space="0"/>
              <w:left w:val="single" w:color="auto" w:sz="4" w:space="0"/>
              <w:bottom w:val="single" w:color="000000" w:sz="2" w:space="0"/>
              <w:right w:val="single" w:color="auto" w:sz="4" w:space="0"/>
            </w:tcBorders>
            <w:noWrap w:val="0"/>
            <w:vAlign w:val="center"/>
          </w:tcPr>
          <w:p w14:paraId="2101846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960" w:type="dxa"/>
            <w:tcBorders>
              <w:top w:val="single" w:color="000000" w:sz="2" w:space="0"/>
              <w:left w:val="single" w:color="auto" w:sz="4" w:space="0"/>
              <w:bottom w:val="single" w:color="000000" w:sz="2" w:space="0"/>
              <w:right w:val="single" w:color="auto" w:sz="4" w:space="0"/>
            </w:tcBorders>
            <w:noWrap w:val="0"/>
            <w:vAlign w:val="center"/>
          </w:tcPr>
          <w:p w14:paraId="4412D7B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116" w:type="dxa"/>
            <w:tcBorders>
              <w:top w:val="single" w:color="000000" w:sz="2" w:space="0"/>
              <w:left w:val="single" w:color="auto" w:sz="4" w:space="0"/>
              <w:bottom w:val="single" w:color="000000" w:sz="2" w:space="0"/>
              <w:right w:val="single" w:color="auto" w:sz="4" w:space="0"/>
            </w:tcBorders>
            <w:noWrap w:val="0"/>
            <w:vAlign w:val="center"/>
          </w:tcPr>
          <w:p w14:paraId="43110B9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632" w:type="dxa"/>
            <w:tcBorders>
              <w:top w:val="single" w:color="000000" w:sz="2" w:space="0"/>
              <w:left w:val="single" w:color="auto" w:sz="4" w:space="0"/>
              <w:bottom w:val="single" w:color="000000" w:sz="2" w:space="0"/>
              <w:right w:val="single" w:color="000000" w:sz="2" w:space="0"/>
            </w:tcBorders>
            <w:noWrap w:val="0"/>
            <w:vAlign w:val="center"/>
          </w:tcPr>
          <w:p w14:paraId="3FEA4A6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专业技术职称</w:t>
            </w:r>
          </w:p>
        </w:tc>
        <w:tc>
          <w:tcPr>
            <w:tcW w:w="1037" w:type="dxa"/>
            <w:tcBorders>
              <w:top w:val="single" w:color="000000" w:sz="2" w:space="0"/>
              <w:left w:val="single" w:color="auto" w:sz="4" w:space="0"/>
              <w:bottom w:val="single" w:color="000000" w:sz="2" w:space="0"/>
              <w:right w:val="single" w:color="000000" w:sz="2" w:space="0"/>
            </w:tcBorders>
            <w:noWrap w:val="0"/>
            <w:vAlign w:val="center"/>
          </w:tcPr>
          <w:p w14:paraId="7BFE2F9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5F480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D6643C4">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29CEC9D3">
            <w:pPr>
              <w:jc w:val="center"/>
              <w:rPr>
                <w:rFonts w:hint="eastAsia" w:ascii="宋体" w:hAnsi="宋体" w:eastAsia="宋体" w:cs="宋体"/>
                <w:color w:val="auto"/>
                <w:sz w:val="24"/>
                <w:szCs w:val="24"/>
                <w:highlight w:val="none"/>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2D7B0918">
            <w:pPr>
              <w:ind w:firstLine="480"/>
              <w:jc w:val="center"/>
              <w:rPr>
                <w:rFonts w:hint="eastAsia" w:ascii="宋体" w:hAnsi="宋体" w:eastAsia="宋体" w:cs="宋体"/>
                <w:color w:val="auto"/>
                <w:sz w:val="24"/>
                <w:szCs w:val="24"/>
                <w:highlight w:val="none"/>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45FA7806">
            <w:pPr>
              <w:ind w:firstLine="480"/>
              <w:jc w:val="center"/>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045E5273">
            <w:pPr>
              <w:ind w:firstLine="480"/>
              <w:jc w:val="center"/>
              <w:rPr>
                <w:rFonts w:hint="eastAsia" w:ascii="宋体" w:hAnsi="宋体" w:eastAsia="宋体" w:cs="宋体"/>
                <w:color w:val="auto"/>
                <w:sz w:val="24"/>
                <w:szCs w:val="24"/>
                <w:highlight w:val="none"/>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42C482BC">
            <w:pPr>
              <w:ind w:firstLine="480"/>
              <w:jc w:val="center"/>
              <w:rPr>
                <w:rFonts w:hint="eastAsia" w:ascii="宋体" w:hAnsi="宋体" w:eastAsia="宋体" w:cs="宋体"/>
                <w:color w:val="auto"/>
                <w:sz w:val="24"/>
                <w:szCs w:val="24"/>
                <w:highlight w:val="none"/>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7929E5FA">
            <w:pPr>
              <w:ind w:firstLine="480"/>
              <w:jc w:val="center"/>
              <w:rPr>
                <w:rFonts w:hint="eastAsia" w:ascii="宋体" w:hAnsi="宋体" w:eastAsia="宋体" w:cs="宋体"/>
                <w:color w:val="auto"/>
                <w:sz w:val="24"/>
                <w:szCs w:val="24"/>
                <w:highlight w:val="none"/>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2A49D1CB">
            <w:pPr>
              <w:ind w:firstLine="480"/>
              <w:jc w:val="center"/>
              <w:rPr>
                <w:rFonts w:hint="eastAsia" w:ascii="宋体" w:hAnsi="宋体" w:eastAsia="宋体" w:cs="宋体"/>
                <w:color w:val="auto"/>
                <w:sz w:val="24"/>
                <w:szCs w:val="24"/>
                <w:highlight w:val="none"/>
              </w:rPr>
            </w:pPr>
          </w:p>
        </w:tc>
      </w:tr>
      <w:tr w14:paraId="0D00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88BEA88">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741FE4E2">
            <w:pPr>
              <w:jc w:val="center"/>
              <w:rPr>
                <w:rFonts w:hint="eastAsia" w:ascii="宋体" w:hAnsi="宋体" w:eastAsia="宋体" w:cs="宋体"/>
                <w:color w:val="auto"/>
                <w:sz w:val="24"/>
                <w:szCs w:val="24"/>
                <w:highlight w:val="none"/>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474F7A13">
            <w:pPr>
              <w:ind w:firstLine="480"/>
              <w:jc w:val="center"/>
              <w:rPr>
                <w:rFonts w:hint="eastAsia" w:ascii="宋体" w:hAnsi="宋体" w:eastAsia="宋体" w:cs="宋体"/>
                <w:color w:val="auto"/>
                <w:sz w:val="24"/>
                <w:szCs w:val="24"/>
                <w:highlight w:val="none"/>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71DF1DA8">
            <w:pPr>
              <w:ind w:firstLine="480"/>
              <w:jc w:val="center"/>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0753ABD1">
            <w:pPr>
              <w:ind w:firstLine="480"/>
              <w:jc w:val="center"/>
              <w:rPr>
                <w:rFonts w:hint="eastAsia" w:ascii="宋体" w:hAnsi="宋体" w:eastAsia="宋体" w:cs="宋体"/>
                <w:color w:val="auto"/>
                <w:sz w:val="24"/>
                <w:szCs w:val="24"/>
                <w:highlight w:val="none"/>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3E1F2401">
            <w:pPr>
              <w:ind w:firstLine="480"/>
              <w:jc w:val="center"/>
              <w:rPr>
                <w:rFonts w:hint="eastAsia" w:ascii="宋体" w:hAnsi="宋体" w:eastAsia="宋体" w:cs="宋体"/>
                <w:color w:val="auto"/>
                <w:sz w:val="24"/>
                <w:szCs w:val="24"/>
                <w:highlight w:val="none"/>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587656E5">
            <w:pPr>
              <w:ind w:firstLine="480"/>
              <w:jc w:val="center"/>
              <w:rPr>
                <w:rFonts w:hint="eastAsia" w:ascii="宋体" w:hAnsi="宋体" w:eastAsia="宋体" w:cs="宋体"/>
                <w:color w:val="auto"/>
                <w:sz w:val="24"/>
                <w:szCs w:val="24"/>
                <w:highlight w:val="none"/>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65D76D28">
            <w:pPr>
              <w:ind w:firstLine="480"/>
              <w:jc w:val="center"/>
              <w:rPr>
                <w:rFonts w:hint="eastAsia" w:ascii="宋体" w:hAnsi="宋体" w:eastAsia="宋体" w:cs="宋体"/>
                <w:color w:val="auto"/>
                <w:sz w:val="24"/>
                <w:szCs w:val="24"/>
                <w:highlight w:val="none"/>
              </w:rPr>
            </w:pPr>
          </w:p>
        </w:tc>
      </w:tr>
      <w:tr w14:paraId="2E624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4E1E46E">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1257CBBD">
            <w:pPr>
              <w:jc w:val="center"/>
              <w:rPr>
                <w:rFonts w:hint="eastAsia" w:ascii="宋体" w:hAnsi="宋体" w:eastAsia="宋体" w:cs="宋体"/>
                <w:color w:val="auto"/>
                <w:sz w:val="24"/>
                <w:szCs w:val="24"/>
                <w:highlight w:val="none"/>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17184725">
            <w:pPr>
              <w:ind w:firstLine="480"/>
              <w:jc w:val="center"/>
              <w:rPr>
                <w:rFonts w:hint="eastAsia" w:ascii="宋体" w:hAnsi="宋体" w:eastAsia="宋体" w:cs="宋体"/>
                <w:color w:val="auto"/>
                <w:sz w:val="24"/>
                <w:szCs w:val="24"/>
                <w:highlight w:val="none"/>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05081903">
            <w:pPr>
              <w:ind w:firstLine="480"/>
              <w:jc w:val="center"/>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16E3AC55">
            <w:pPr>
              <w:ind w:firstLine="480"/>
              <w:jc w:val="center"/>
              <w:rPr>
                <w:rFonts w:hint="eastAsia" w:ascii="宋体" w:hAnsi="宋体" w:eastAsia="宋体" w:cs="宋体"/>
                <w:color w:val="auto"/>
                <w:sz w:val="24"/>
                <w:szCs w:val="24"/>
                <w:highlight w:val="none"/>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0DD025A0">
            <w:pPr>
              <w:ind w:firstLine="480"/>
              <w:jc w:val="center"/>
              <w:rPr>
                <w:rFonts w:hint="eastAsia" w:ascii="宋体" w:hAnsi="宋体" w:eastAsia="宋体" w:cs="宋体"/>
                <w:color w:val="auto"/>
                <w:sz w:val="24"/>
                <w:szCs w:val="24"/>
                <w:highlight w:val="none"/>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6989C917">
            <w:pPr>
              <w:ind w:firstLine="480"/>
              <w:jc w:val="center"/>
              <w:rPr>
                <w:rFonts w:hint="eastAsia" w:ascii="宋体" w:hAnsi="宋体" w:eastAsia="宋体" w:cs="宋体"/>
                <w:color w:val="auto"/>
                <w:sz w:val="24"/>
                <w:szCs w:val="24"/>
                <w:highlight w:val="none"/>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575DA282">
            <w:pPr>
              <w:ind w:firstLine="480"/>
              <w:jc w:val="center"/>
              <w:rPr>
                <w:rFonts w:hint="eastAsia" w:ascii="宋体" w:hAnsi="宋体" w:eastAsia="宋体" w:cs="宋体"/>
                <w:color w:val="auto"/>
                <w:sz w:val="24"/>
                <w:szCs w:val="24"/>
                <w:highlight w:val="none"/>
              </w:rPr>
            </w:pPr>
          </w:p>
        </w:tc>
      </w:tr>
      <w:tr w14:paraId="0B931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0C1CB600">
            <w:pPr>
              <w:ind w:firstLine="480"/>
              <w:rPr>
                <w:rFonts w:hint="eastAsia" w:ascii="宋体" w:hAnsi="宋体" w:eastAsia="宋体" w:cs="宋体"/>
                <w:color w:val="auto"/>
                <w:sz w:val="24"/>
                <w:szCs w:val="24"/>
                <w:highlight w:val="none"/>
              </w:rPr>
            </w:pP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409BB4CD">
            <w:pPr>
              <w:ind w:firstLine="480"/>
              <w:rPr>
                <w:rFonts w:hint="eastAsia" w:ascii="宋体" w:hAnsi="宋体" w:eastAsia="宋体" w:cs="宋体"/>
                <w:color w:val="auto"/>
                <w:sz w:val="24"/>
                <w:szCs w:val="24"/>
                <w:highlight w:val="none"/>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24B3847B">
            <w:pPr>
              <w:ind w:firstLine="480"/>
              <w:rPr>
                <w:rFonts w:hint="eastAsia" w:ascii="宋体" w:hAnsi="宋体" w:eastAsia="宋体" w:cs="宋体"/>
                <w:color w:val="auto"/>
                <w:sz w:val="24"/>
                <w:szCs w:val="24"/>
                <w:highlight w:val="none"/>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1037527A">
            <w:pPr>
              <w:ind w:firstLine="480"/>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675FF62A">
            <w:pPr>
              <w:ind w:firstLine="480"/>
              <w:rPr>
                <w:rFonts w:hint="eastAsia" w:ascii="宋体" w:hAnsi="宋体" w:eastAsia="宋体" w:cs="宋体"/>
                <w:color w:val="auto"/>
                <w:sz w:val="24"/>
                <w:szCs w:val="24"/>
                <w:highlight w:val="none"/>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5290C7BE">
            <w:pPr>
              <w:ind w:firstLine="480"/>
              <w:rPr>
                <w:rFonts w:hint="eastAsia" w:ascii="宋体" w:hAnsi="宋体" w:eastAsia="宋体" w:cs="宋体"/>
                <w:color w:val="auto"/>
                <w:sz w:val="24"/>
                <w:szCs w:val="24"/>
                <w:highlight w:val="none"/>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2A4015EE">
            <w:pPr>
              <w:ind w:firstLine="480"/>
              <w:rPr>
                <w:rFonts w:hint="eastAsia" w:ascii="宋体" w:hAnsi="宋体" w:eastAsia="宋体" w:cs="宋体"/>
                <w:color w:val="auto"/>
                <w:sz w:val="24"/>
                <w:szCs w:val="24"/>
                <w:highlight w:val="none"/>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342001E3">
            <w:pPr>
              <w:ind w:firstLine="480"/>
              <w:rPr>
                <w:rFonts w:hint="eastAsia" w:ascii="宋体" w:hAnsi="宋体" w:eastAsia="宋体" w:cs="宋体"/>
                <w:color w:val="auto"/>
                <w:sz w:val="24"/>
                <w:szCs w:val="24"/>
                <w:highlight w:val="none"/>
              </w:rPr>
            </w:pPr>
          </w:p>
        </w:tc>
      </w:tr>
      <w:tr w14:paraId="50898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64E6FFE8">
            <w:pPr>
              <w:ind w:firstLine="480"/>
              <w:rPr>
                <w:rFonts w:hint="eastAsia" w:ascii="宋体" w:hAnsi="宋体" w:eastAsia="宋体" w:cs="宋体"/>
                <w:color w:val="auto"/>
                <w:sz w:val="24"/>
                <w:szCs w:val="24"/>
                <w:highlight w:val="none"/>
              </w:rPr>
            </w:pP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6C5073D8">
            <w:pPr>
              <w:ind w:firstLine="480"/>
              <w:rPr>
                <w:rFonts w:hint="eastAsia" w:ascii="宋体" w:hAnsi="宋体" w:eastAsia="宋体" w:cs="宋体"/>
                <w:color w:val="auto"/>
                <w:sz w:val="24"/>
                <w:szCs w:val="24"/>
                <w:highlight w:val="none"/>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09F6FB70">
            <w:pPr>
              <w:ind w:firstLine="480"/>
              <w:rPr>
                <w:rFonts w:hint="eastAsia" w:ascii="宋体" w:hAnsi="宋体" w:eastAsia="宋体" w:cs="宋体"/>
                <w:color w:val="auto"/>
                <w:sz w:val="24"/>
                <w:szCs w:val="24"/>
                <w:highlight w:val="none"/>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616BE5D2">
            <w:pPr>
              <w:ind w:firstLine="480"/>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56B1EF9F">
            <w:pPr>
              <w:ind w:firstLine="480"/>
              <w:rPr>
                <w:rFonts w:hint="eastAsia" w:ascii="宋体" w:hAnsi="宋体" w:eastAsia="宋体" w:cs="宋体"/>
                <w:color w:val="auto"/>
                <w:sz w:val="24"/>
                <w:szCs w:val="24"/>
                <w:highlight w:val="none"/>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268196FF">
            <w:pPr>
              <w:ind w:firstLine="480"/>
              <w:rPr>
                <w:rFonts w:hint="eastAsia" w:ascii="宋体" w:hAnsi="宋体" w:eastAsia="宋体" w:cs="宋体"/>
                <w:color w:val="auto"/>
                <w:sz w:val="24"/>
                <w:szCs w:val="24"/>
                <w:highlight w:val="none"/>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1806BB40">
            <w:pPr>
              <w:ind w:firstLine="480"/>
              <w:rPr>
                <w:rFonts w:hint="eastAsia" w:ascii="宋体" w:hAnsi="宋体" w:eastAsia="宋体" w:cs="宋体"/>
                <w:color w:val="auto"/>
                <w:sz w:val="24"/>
                <w:szCs w:val="24"/>
                <w:highlight w:val="none"/>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4CCE91F1">
            <w:pPr>
              <w:ind w:firstLine="480"/>
              <w:rPr>
                <w:rFonts w:hint="eastAsia" w:ascii="宋体" w:hAnsi="宋体" w:eastAsia="宋体" w:cs="宋体"/>
                <w:color w:val="auto"/>
                <w:sz w:val="24"/>
                <w:szCs w:val="24"/>
                <w:highlight w:val="none"/>
              </w:rPr>
            </w:pPr>
          </w:p>
        </w:tc>
      </w:tr>
      <w:tr w14:paraId="21CE9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6BB1B994">
            <w:pPr>
              <w:ind w:firstLine="480"/>
              <w:rPr>
                <w:rFonts w:hint="eastAsia" w:ascii="宋体" w:hAnsi="宋体" w:eastAsia="宋体" w:cs="宋体"/>
                <w:color w:val="auto"/>
                <w:sz w:val="24"/>
                <w:szCs w:val="24"/>
                <w:highlight w:val="none"/>
              </w:rPr>
            </w:pP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3E430368">
            <w:pPr>
              <w:ind w:firstLine="480"/>
              <w:rPr>
                <w:rFonts w:hint="eastAsia" w:ascii="宋体" w:hAnsi="宋体" w:eastAsia="宋体" w:cs="宋体"/>
                <w:color w:val="auto"/>
                <w:sz w:val="24"/>
                <w:szCs w:val="24"/>
                <w:highlight w:val="none"/>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74496676">
            <w:pPr>
              <w:ind w:firstLine="480"/>
              <w:rPr>
                <w:rFonts w:hint="eastAsia" w:ascii="宋体" w:hAnsi="宋体" w:eastAsia="宋体" w:cs="宋体"/>
                <w:color w:val="auto"/>
                <w:sz w:val="24"/>
                <w:szCs w:val="24"/>
                <w:highlight w:val="none"/>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58744FAA">
            <w:pPr>
              <w:ind w:firstLine="480"/>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3F836A4B">
            <w:pPr>
              <w:ind w:firstLine="480"/>
              <w:rPr>
                <w:rFonts w:hint="eastAsia" w:ascii="宋体" w:hAnsi="宋体" w:eastAsia="宋体" w:cs="宋体"/>
                <w:color w:val="auto"/>
                <w:sz w:val="24"/>
                <w:szCs w:val="24"/>
                <w:highlight w:val="none"/>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21C2A275">
            <w:pPr>
              <w:ind w:firstLine="480"/>
              <w:rPr>
                <w:rFonts w:hint="eastAsia" w:ascii="宋体" w:hAnsi="宋体" w:eastAsia="宋体" w:cs="宋体"/>
                <w:color w:val="auto"/>
                <w:sz w:val="24"/>
                <w:szCs w:val="24"/>
                <w:highlight w:val="none"/>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1039FAD0">
            <w:pPr>
              <w:ind w:firstLine="480"/>
              <w:rPr>
                <w:rFonts w:hint="eastAsia" w:ascii="宋体" w:hAnsi="宋体" w:eastAsia="宋体" w:cs="宋体"/>
                <w:color w:val="auto"/>
                <w:sz w:val="24"/>
                <w:szCs w:val="24"/>
                <w:highlight w:val="none"/>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40C8121D">
            <w:pPr>
              <w:ind w:firstLine="480"/>
              <w:rPr>
                <w:rFonts w:hint="eastAsia" w:ascii="宋体" w:hAnsi="宋体" w:eastAsia="宋体" w:cs="宋体"/>
                <w:color w:val="auto"/>
                <w:sz w:val="24"/>
                <w:szCs w:val="24"/>
                <w:highlight w:val="none"/>
              </w:rPr>
            </w:pPr>
          </w:p>
        </w:tc>
      </w:tr>
      <w:tr w14:paraId="0B831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2F8A7D2">
            <w:pPr>
              <w:ind w:firstLine="480"/>
              <w:rPr>
                <w:rFonts w:hint="eastAsia" w:ascii="宋体" w:hAnsi="宋体" w:eastAsia="宋体" w:cs="宋体"/>
                <w:color w:val="auto"/>
                <w:sz w:val="24"/>
                <w:szCs w:val="24"/>
                <w:highlight w:val="none"/>
              </w:rPr>
            </w:pP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77D0C119">
            <w:pPr>
              <w:ind w:firstLine="480"/>
              <w:rPr>
                <w:rFonts w:hint="eastAsia" w:ascii="宋体" w:hAnsi="宋体" w:eastAsia="宋体" w:cs="宋体"/>
                <w:color w:val="auto"/>
                <w:sz w:val="24"/>
                <w:szCs w:val="24"/>
                <w:highlight w:val="none"/>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4A06E587">
            <w:pPr>
              <w:ind w:firstLine="480"/>
              <w:rPr>
                <w:rFonts w:hint="eastAsia" w:ascii="宋体" w:hAnsi="宋体" w:eastAsia="宋体" w:cs="宋体"/>
                <w:color w:val="auto"/>
                <w:sz w:val="24"/>
                <w:szCs w:val="24"/>
                <w:highlight w:val="none"/>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0697DF28">
            <w:pPr>
              <w:ind w:firstLine="480"/>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40A48B73">
            <w:pPr>
              <w:ind w:firstLine="480"/>
              <w:rPr>
                <w:rFonts w:hint="eastAsia" w:ascii="宋体" w:hAnsi="宋体" w:eastAsia="宋体" w:cs="宋体"/>
                <w:color w:val="auto"/>
                <w:sz w:val="24"/>
                <w:szCs w:val="24"/>
                <w:highlight w:val="none"/>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1349DE68">
            <w:pPr>
              <w:ind w:firstLine="480"/>
              <w:rPr>
                <w:rFonts w:hint="eastAsia" w:ascii="宋体" w:hAnsi="宋体" w:eastAsia="宋体" w:cs="宋体"/>
                <w:color w:val="auto"/>
                <w:sz w:val="24"/>
                <w:szCs w:val="24"/>
                <w:highlight w:val="none"/>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4682D81F">
            <w:pPr>
              <w:ind w:firstLine="480"/>
              <w:rPr>
                <w:rFonts w:hint="eastAsia" w:ascii="宋体" w:hAnsi="宋体" w:eastAsia="宋体" w:cs="宋体"/>
                <w:color w:val="auto"/>
                <w:sz w:val="24"/>
                <w:szCs w:val="24"/>
                <w:highlight w:val="none"/>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0CB0081A">
            <w:pPr>
              <w:ind w:firstLine="480"/>
              <w:rPr>
                <w:rFonts w:hint="eastAsia" w:ascii="宋体" w:hAnsi="宋体" w:eastAsia="宋体" w:cs="宋体"/>
                <w:color w:val="auto"/>
                <w:sz w:val="24"/>
                <w:szCs w:val="24"/>
                <w:highlight w:val="none"/>
              </w:rPr>
            </w:pPr>
          </w:p>
        </w:tc>
      </w:tr>
      <w:tr w14:paraId="3043B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DCBB8AB">
            <w:pPr>
              <w:ind w:firstLine="480"/>
              <w:rPr>
                <w:rFonts w:hint="eastAsia" w:ascii="宋体" w:hAnsi="宋体" w:eastAsia="宋体" w:cs="宋体"/>
                <w:color w:val="auto"/>
                <w:sz w:val="24"/>
                <w:szCs w:val="24"/>
                <w:highlight w:val="none"/>
              </w:rPr>
            </w:pP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62D657B0">
            <w:pPr>
              <w:ind w:firstLine="480"/>
              <w:rPr>
                <w:rFonts w:hint="eastAsia" w:ascii="宋体" w:hAnsi="宋体" w:eastAsia="宋体" w:cs="宋体"/>
                <w:color w:val="auto"/>
                <w:sz w:val="24"/>
                <w:szCs w:val="24"/>
                <w:highlight w:val="none"/>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2E763E0E">
            <w:pPr>
              <w:ind w:firstLine="480"/>
              <w:rPr>
                <w:rFonts w:hint="eastAsia" w:ascii="宋体" w:hAnsi="宋体" w:eastAsia="宋体" w:cs="宋体"/>
                <w:color w:val="auto"/>
                <w:sz w:val="24"/>
                <w:szCs w:val="24"/>
                <w:highlight w:val="none"/>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4802C4A1">
            <w:pPr>
              <w:ind w:firstLine="480"/>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2C074984">
            <w:pPr>
              <w:ind w:firstLine="480"/>
              <w:rPr>
                <w:rFonts w:hint="eastAsia" w:ascii="宋体" w:hAnsi="宋体" w:eastAsia="宋体" w:cs="宋体"/>
                <w:color w:val="auto"/>
                <w:sz w:val="24"/>
                <w:szCs w:val="24"/>
                <w:highlight w:val="none"/>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69E641A5">
            <w:pPr>
              <w:ind w:firstLine="480"/>
              <w:rPr>
                <w:rFonts w:hint="eastAsia" w:ascii="宋体" w:hAnsi="宋体" w:eastAsia="宋体" w:cs="宋体"/>
                <w:color w:val="auto"/>
                <w:sz w:val="24"/>
                <w:szCs w:val="24"/>
                <w:highlight w:val="none"/>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46AE07D0">
            <w:pPr>
              <w:ind w:firstLine="480"/>
              <w:rPr>
                <w:rFonts w:hint="eastAsia" w:ascii="宋体" w:hAnsi="宋体" w:eastAsia="宋体" w:cs="宋体"/>
                <w:color w:val="auto"/>
                <w:sz w:val="24"/>
                <w:szCs w:val="24"/>
                <w:highlight w:val="none"/>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715B8060">
            <w:pPr>
              <w:ind w:firstLine="480"/>
              <w:rPr>
                <w:rFonts w:hint="eastAsia" w:ascii="宋体" w:hAnsi="宋体" w:eastAsia="宋体" w:cs="宋体"/>
                <w:color w:val="auto"/>
                <w:sz w:val="24"/>
                <w:szCs w:val="24"/>
                <w:highlight w:val="none"/>
              </w:rPr>
            </w:pPr>
          </w:p>
        </w:tc>
      </w:tr>
      <w:tr w14:paraId="0620F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2740BFC5">
            <w:pPr>
              <w:ind w:firstLine="480"/>
              <w:rPr>
                <w:rFonts w:hint="eastAsia" w:ascii="宋体" w:hAnsi="宋体" w:eastAsia="宋体" w:cs="宋体"/>
                <w:color w:val="auto"/>
                <w:sz w:val="24"/>
                <w:szCs w:val="24"/>
                <w:highlight w:val="none"/>
              </w:rPr>
            </w:pP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36CD1379">
            <w:pPr>
              <w:ind w:firstLine="480"/>
              <w:rPr>
                <w:rFonts w:hint="eastAsia" w:ascii="宋体" w:hAnsi="宋体" w:eastAsia="宋体" w:cs="宋体"/>
                <w:color w:val="auto"/>
                <w:sz w:val="24"/>
                <w:szCs w:val="24"/>
                <w:highlight w:val="none"/>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094F1A28">
            <w:pPr>
              <w:ind w:firstLine="480"/>
              <w:rPr>
                <w:rFonts w:hint="eastAsia" w:ascii="宋体" w:hAnsi="宋体" w:eastAsia="宋体" w:cs="宋体"/>
                <w:color w:val="auto"/>
                <w:sz w:val="24"/>
                <w:szCs w:val="24"/>
                <w:highlight w:val="none"/>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0FB32378">
            <w:pPr>
              <w:ind w:firstLine="480"/>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49E0D90F">
            <w:pPr>
              <w:ind w:firstLine="480"/>
              <w:rPr>
                <w:rFonts w:hint="eastAsia" w:ascii="宋体" w:hAnsi="宋体" w:eastAsia="宋体" w:cs="宋体"/>
                <w:color w:val="auto"/>
                <w:sz w:val="24"/>
                <w:szCs w:val="24"/>
                <w:highlight w:val="none"/>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79A5DF66">
            <w:pPr>
              <w:ind w:firstLine="480"/>
              <w:rPr>
                <w:rFonts w:hint="eastAsia" w:ascii="宋体" w:hAnsi="宋体" w:eastAsia="宋体" w:cs="宋体"/>
                <w:color w:val="auto"/>
                <w:sz w:val="24"/>
                <w:szCs w:val="24"/>
                <w:highlight w:val="none"/>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459D1693">
            <w:pPr>
              <w:ind w:firstLine="480"/>
              <w:rPr>
                <w:rFonts w:hint="eastAsia" w:ascii="宋体" w:hAnsi="宋体" w:eastAsia="宋体" w:cs="宋体"/>
                <w:color w:val="auto"/>
                <w:sz w:val="24"/>
                <w:szCs w:val="24"/>
                <w:highlight w:val="none"/>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7210B019">
            <w:pPr>
              <w:ind w:firstLine="480"/>
              <w:rPr>
                <w:rFonts w:hint="eastAsia" w:ascii="宋体" w:hAnsi="宋体" w:eastAsia="宋体" w:cs="宋体"/>
                <w:color w:val="auto"/>
                <w:sz w:val="24"/>
                <w:szCs w:val="24"/>
                <w:highlight w:val="none"/>
              </w:rPr>
            </w:pPr>
          </w:p>
        </w:tc>
      </w:tr>
    </w:tbl>
    <w:p w14:paraId="60414D1C">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注：按招标文件和评分标准要求提供相应证明材料</w:t>
      </w:r>
    </w:p>
    <w:p w14:paraId="4CF95307">
      <w:pPr>
        <w:spacing w:line="360" w:lineRule="auto"/>
        <w:ind w:firstLine="420"/>
        <w:rPr>
          <w:rFonts w:hint="eastAsia" w:ascii="宋体" w:hAnsi="宋体" w:eastAsia="宋体" w:cs="宋体"/>
          <w:color w:val="auto"/>
          <w:sz w:val="24"/>
          <w:szCs w:val="24"/>
          <w:highlight w:val="none"/>
        </w:rPr>
      </w:pPr>
    </w:p>
    <w:p w14:paraId="1233E3FE">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5B60DA21">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p>
    <w:p w14:paraId="3865D200">
      <w:pPr>
        <w:keepNext w:val="0"/>
        <w:keepLines w:val="0"/>
        <w:pageBreakBefore w:val="0"/>
        <w:widowControl w:val="0"/>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投标日期：年月日</w:t>
      </w:r>
    </w:p>
    <w:p w14:paraId="272295E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6F350C9">
      <w:pPr>
        <w:pStyle w:val="16"/>
        <w:spacing w:line="360" w:lineRule="auto"/>
        <w:ind w:firstLine="0"/>
        <w:rPr>
          <w:rFonts w:hint="eastAsia" w:ascii="宋体" w:hAnsi="宋体" w:eastAsia="宋体" w:cs="宋体"/>
          <w:b/>
          <w:bCs/>
          <w:color w:val="auto"/>
          <w:sz w:val="24"/>
          <w:szCs w:val="24"/>
          <w:highlight w:val="none"/>
        </w:rPr>
      </w:pPr>
    </w:p>
    <w:p w14:paraId="7E55D0CC">
      <w:pPr>
        <w:pStyle w:val="16"/>
        <w:spacing w:line="360" w:lineRule="auto"/>
        <w:ind w:firstLine="0"/>
        <w:rPr>
          <w:rFonts w:hint="eastAsia" w:ascii="宋体" w:hAnsi="宋体" w:eastAsia="宋体" w:cs="宋体"/>
          <w:b/>
          <w:bCs/>
          <w:color w:val="auto"/>
          <w:sz w:val="24"/>
          <w:szCs w:val="24"/>
          <w:highlight w:val="none"/>
        </w:rPr>
      </w:pPr>
    </w:p>
    <w:p w14:paraId="143FCA66">
      <w:pPr>
        <w:pStyle w:val="16"/>
        <w:spacing w:line="360" w:lineRule="auto"/>
        <w:ind w:firstLine="0"/>
        <w:rPr>
          <w:rFonts w:hint="eastAsia" w:ascii="宋体" w:hAnsi="宋体" w:eastAsia="宋体" w:cs="宋体"/>
          <w:b/>
          <w:bCs/>
          <w:color w:val="auto"/>
          <w:sz w:val="24"/>
          <w:szCs w:val="24"/>
          <w:highlight w:val="none"/>
        </w:rPr>
      </w:pPr>
    </w:p>
    <w:p w14:paraId="32E6AD25">
      <w:pPr>
        <w:pStyle w:val="16"/>
        <w:spacing w:line="360" w:lineRule="auto"/>
        <w:ind w:firstLine="0"/>
        <w:rPr>
          <w:rFonts w:hint="eastAsia" w:ascii="宋体" w:hAnsi="宋体" w:eastAsia="宋体" w:cs="宋体"/>
          <w:b/>
          <w:bCs/>
          <w:color w:val="auto"/>
          <w:sz w:val="24"/>
          <w:szCs w:val="24"/>
          <w:highlight w:val="none"/>
        </w:rPr>
      </w:pPr>
    </w:p>
    <w:p w14:paraId="3A30AFB5">
      <w:pPr>
        <w:pStyle w:val="16"/>
        <w:spacing w:line="360" w:lineRule="auto"/>
        <w:ind w:firstLine="0"/>
        <w:rPr>
          <w:rFonts w:hint="eastAsia" w:ascii="宋体" w:hAnsi="宋体" w:eastAsia="宋体" w:cs="宋体"/>
          <w:b/>
          <w:bCs/>
          <w:color w:val="auto"/>
          <w:sz w:val="24"/>
          <w:szCs w:val="24"/>
          <w:highlight w:val="none"/>
        </w:rPr>
      </w:pPr>
    </w:p>
    <w:p w14:paraId="4742D725">
      <w:pPr>
        <w:pStyle w:val="16"/>
        <w:spacing w:line="360" w:lineRule="auto"/>
        <w:ind w:firstLine="0"/>
        <w:rPr>
          <w:rFonts w:hint="eastAsia" w:ascii="宋体" w:hAnsi="宋体" w:eastAsia="宋体" w:cs="宋体"/>
          <w:b/>
          <w:bCs/>
          <w:color w:val="auto"/>
          <w:sz w:val="24"/>
          <w:szCs w:val="24"/>
          <w:highlight w:val="none"/>
        </w:rPr>
      </w:pPr>
    </w:p>
    <w:p w14:paraId="06F9E96F">
      <w:pPr>
        <w:pStyle w:val="16"/>
        <w:spacing w:line="360" w:lineRule="auto"/>
        <w:ind w:firstLine="0"/>
        <w:rPr>
          <w:rFonts w:hint="eastAsia" w:ascii="宋体" w:hAnsi="宋体" w:eastAsia="宋体" w:cs="宋体"/>
          <w:b/>
          <w:bCs/>
          <w:color w:val="auto"/>
          <w:sz w:val="24"/>
          <w:szCs w:val="24"/>
          <w:highlight w:val="none"/>
        </w:rPr>
      </w:pPr>
    </w:p>
    <w:p w14:paraId="024CB4A4">
      <w:pPr>
        <w:pStyle w:val="16"/>
        <w:spacing w:line="360" w:lineRule="auto"/>
        <w:ind w:firstLine="0"/>
        <w:rPr>
          <w:rFonts w:hint="eastAsia" w:ascii="宋体" w:hAnsi="宋体" w:eastAsia="宋体" w:cs="宋体"/>
          <w:b/>
          <w:bCs/>
          <w:color w:val="auto"/>
          <w:sz w:val="24"/>
          <w:szCs w:val="24"/>
          <w:highlight w:val="none"/>
        </w:rPr>
      </w:pPr>
    </w:p>
    <w:p w14:paraId="389B7B33">
      <w:pPr>
        <w:pStyle w:val="16"/>
        <w:spacing w:line="360" w:lineRule="auto"/>
        <w:ind w:firstLine="0"/>
        <w:rPr>
          <w:rFonts w:hint="eastAsia" w:ascii="宋体" w:hAnsi="宋体" w:eastAsia="宋体" w:cs="宋体"/>
          <w:b/>
          <w:bCs/>
          <w:color w:val="auto"/>
          <w:sz w:val="24"/>
          <w:szCs w:val="24"/>
          <w:highlight w:val="none"/>
        </w:rPr>
      </w:pPr>
    </w:p>
    <w:p w14:paraId="29593A56">
      <w:pPr>
        <w:rPr>
          <w:rFonts w:hint="eastAsia" w:ascii="宋体" w:hAnsi="宋体" w:eastAsia="宋体" w:cs="宋体"/>
          <w:bCs/>
          <w:color w:val="auto"/>
          <w:sz w:val="24"/>
          <w:szCs w:val="24"/>
          <w:highlight w:val="none"/>
        </w:rPr>
      </w:pPr>
    </w:p>
    <w:p w14:paraId="75844916">
      <w:pPr>
        <w:pStyle w:val="16"/>
        <w:spacing w:line="360" w:lineRule="auto"/>
        <w:ind w:firstLine="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格式</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资格证明文件</w:t>
      </w:r>
    </w:p>
    <w:p w14:paraId="6ED162B1">
      <w:pPr>
        <w:pStyle w:val="16"/>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关于资格文件的声明函</w:t>
      </w:r>
    </w:p>
    <w:p w14:paraId="093A4D63">
      <w:pPr>
        <w:pStyle w:val="253"/>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关于资格文件的声明函</w:t>
      </w:r>
    </w:p>
    <w:p w14:paraId="1C495E50">
      <w:pPr>
        <w:pStyle w:val="16"/>
        <w:jc w:val="center"/>
        <w:rPr>
          <w:rFonts w:hint="eastAsia" w:ascii="宋体" w:hAnsi="宋体" w:eastAsia="宋体" w:cs="宋体"/>
          <w:color w:val="auto"/>
          <w:sz w:val="24"/>
          <w:szCs w:val="24"/>
          <w:highlight w:val="none"/>
        </w:rPr>
      </w:pPr>
    </w:p>
    <w:p w14:paraId="1D609C37">
      <w:pPr>
        <w:pStyle w:val="16"/>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苏州泛亚万隆建设工程咨询有限公司</w:t>
      </w:r>
      <w:r>
        <w:rPr>
          <w:rFonts w:hint="eastAsia" w:ascii="宋体" w:hAnsi="宋体" w:eastAsia="宋体" w:cs="宋体"/>
          <w:color w:val="auto"/>
          <w:sz w:val="24"/>
          <w:szCs w:val="24"/>
          <w:highlight w:val="none"/>
        </w:rPr>
        <w:t>：</w:t>
      </w:r>
    </w:p>
    <w:p w14:paraId="62822334">
      <w:pPr>
        <w:pStyle w:val="16"/>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本公司愿就由贵公司组织实施的编号</w:t>
      </w:r>
      <w:r>
        <w:rPr>
          <w:rFonts w:hint="eastAsia" w:ascii="宋体" w:hAnsi="宋体" w:eastAsia="宋体" w:cs="宋体"/>
          <w:color w:val="auto"/>
          <w:sz w:val="24"/>
          <w:szCs w:val="24"/>
          <w:highlight w:val="none"/>
          <w:u w:val="single"/>
          <w:lang w:eastAsia="zh-CN"/>
        </w:rPr>
        <w:t>JSZC-320585-FYWL-C2025-0023</w:t>
      </w:r>
      <w:r>
        <w:rPr>
          <w:rFonts w:hint="eastAsia" w:ascii="宋体" w:hAnsi="宋体" w:eastAsia="宋体" w:cs="宋体"/>
          <w:color w:val="auto"/>
          <w:sz w:val="24"/>
          <w:szCs w:val="24"/>
          <w:highlight w:val="none"/>
        </w:rPr>
        <w:t>的招标活动进行投标。本公司所提交的投标文件中所有关于投标资格的文件、证明和陈述均是真实的、准确的。若与真实情况不符，本公司愿意承担由此而产生的一切后果。</w:t>
      </w:r>
    </w:p>
    <w:p w14:paraId="27511D5E">
      <w:pPr>
        <w:pStyle w:val="16"/>
        <w:spacing w:line="360" w:lineRule="auto"/>
        <w:ind w:firstLine="426"/>
        <w:rPr>
          <w:rFonts w:hint="eastAsia" w:ascii="宋体" w:hAnsi="宋体" w:eastAsia="宋体" w:cs="宋体"/>
          <w:color w:val="auto"/>
          <w:sz w:val="24"/>
          <w:szCs w:val="24"/>
          <w:highlight w:val="none"/>
        </w:rPr>
      </w:pPr>
    </w:p>
    <w:p w14:paraId="54ED655A">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696F5289">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p>
    <w:p w14:paraId="57E75A6B">
      <w:pPr>
        <w:keepNext w:val="0"/>
        <w:keepLines w:val="0"/>
        <w:pageBreakBefore w:val="0"/>
        <w:widowControl w:val="0"/>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投标日期：年月日</w:t>
      </w:r>
    </w:p>
    <w:p w14:paraId="5DF4F9CC">
      <w:pPr>
        <w:spacing w:line="360" w:lineRule="auto"/>
        <w:ind w:firstLine="480"/>
        <w:rPr>
          <w:rFonts w:hint="eastAsia" w:ascii="宋体" w:hAnsi="宋体" w:eastAsia="宋体" w:cs="宋体"/>
          <w:color w:val="auto"/>
          <w:sz w:val="24"/>
          <w:szCs w:val="24"/>
          <w:highlight w:val="none"/>
        </w:rPr>
      </w:pPr>
    </w:p>
    <w:p w14:paraId="7613ACD1">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4B805ED3">
      <w:pPr>
        <w:pStyle w:val="16"/>
        <w:spacing w:line="400" w:lineRule="exact"/>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投标单位情况表</w:t>
      </w:r>
    </w:p>
    <w:p w14:paraId="24CBB958">
      <w:pPr>
        <w:pStyle w:val="253"/>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投标单位情况表</w:t>
      </w:r>
    </w:p>
    <w:p w14:paraId="74B0C12B">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单位名称（盖章）</w:t>
      </w:r>
    </w:p>
    <w:tbl>
      <w:tblPr>
        <w:tblStyle w:val="66"/>
        <w:tblW w:w="9421" w:type="dxa"/>
        <w:jc w:val="center"/>
        <w:tblLayout w:type="fixed"/>
        <w:tblCellMar>
          <w:top w:w="0" w:type="dxa"/>
          <w:left w:w="108" w:type="dxa"/>
          <w:bottom w:w="0" w:type="dxa"/>
          <w:right w:w="108" w:type="dxa"/>
        </w:tblCellMar>
      </w:tblPr>
      <w:tblGrid>
        <w:gridCol w:w="3202"/>
        <w:gridCol w:w="1845"/>
        <w:gridCol w:w="1344"/>
        <w:gridCol w:w="1892"/>
        <w:gridCol w:w="1138"/>
      </w:tblGrid>
      <w:tr w14:paraId="3AB0A8CC">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tcPr>
          <w:p w14:paraId="1AB781A5">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1845" w:type="dxa"/>
            <w:tcBorders>
              <w:top w:val="single" w:color="000000" w:sz="6" w:space="0"/>
              <w:left w:val="single" w:color="000000" w:sz="6" w:space="0"/>
              <w:bottom w:val="single" w:color="000000" w:sz="6" w:space="0"/>
              <w:right w:val="single" w:color="000000" w:sz="6" w:space="0"/>
            </w:tcBorders>
            <w:noWrap w:val="0"/>
          </w:tcPr>
          <w:p w14:paraId="244DF0AF">
            <w:pPr>
              <w:pStyle w:val="16"/>
              <w:ind w:firstLine="0"/>
              <w:rPr>
                <w:rFonts w:hint="eastAsia" w:ascii="宋体" w:hAnsi="宋体" w:eastAsia="宋体" w:cs="宋体"/>
                <w:color w:val="auto"/>
                <w:sz w:val="24"/>
                <w:szCs w:val="24"/>
                <w:highlight w:val="none"/>
              </w:rPr>
            </w:pPr>
          </w:p>
        </w:tc>
        <w:tc>
          <w:tcPr>
            <w:tcW w:w="1344" w:type="dxa"/>
            <w:tcBorders>
              <w:top w:val="single" w:color="000000" w:sz="6" w:space="0"/>
              <w:left w:val="single" w:color="000000" w:sz="6" w:space="0"/>
              <w:bottom w:val="single" w:color="000000" w:sz="6" w:space="0"/>
              <w:right w:val="single" w:color="000000" w:sz="6" w:space="0"/>
            </w:tcBorders>
            <w:noWrap w:val="0"/>
          </w:tcPr>
          <w:p w14:paraId="77524321">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3030" w:type="dxa"/>
            <w:gridSpan w:val="2"/>
            <w:tcBorders>
              <w:top w:val="single" w:color="000000" w:sz="6" w:space="0"/>
              <w:left w:val="single" w:color="000000" w:sz="6" w:space="0"/>
              <w:bottom w:val="single" w:color="000000" w:sz="6" w:space="0"/>
              <w:right w:val="single" w:color="000000" w:sz="6" w:space="0"/>
            </w:tcBorders>
            <w:noWrap w:val="0"/>
          </w:tcPr>
          <w:p w14:paraId="7047C8DB">
            <w:pPr>
              <w:pStyle w:val="16"/>
              <w:ind w:firstLine="0"/>
              <w:rPr>
                <w:rFonts w:hint="eastAsia" w:ascii="宋体" w:hAnsi="宋体" w:eastAsia="宋体" w:cs="宋体"/>
                <w:color w:val="auto"/>
                <w:sz w:val="24"/>
                <w:szCs w:val="24"/>
                <w:highlight w:val="none"/>
              </w:rPr>
            </w:pPr>
          </w:p>
        </w:tc>
      </w:tr>
      <w:tr w14:paraId="47D8B0C5">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tcPr>
          <w:p w14:paraId="311EE617">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1845" w:type="dxa"/>
            <w:tcBorders>
              <w:top w:val="single" w:color="000000" w:sz="6" w:space="0"/>
              <w:left w:val="single" w:color="000000" w:sz="6" w:space="0"/>
              <w:bottom w:val="single" w:color="000000" w:sz="6" w:space="0"/>
              <w:right w:val="single" w:color="000000" w:sz="6" w:space="0"/>
            </w:tcBorders>
            <w:noWrap w:val="0"/>
          </w:tcPr>
          <w:p w14:paraId="403B377A">
            <w:pPr>
              <w:pStyle w:val="16"/>
              <w:ind w:firstLine="0"/>
              <w:rPr>
                <w:rFonts w:hint="eastAsia" w:ascii="宋体" w:hAnsi="宋体" w:eastAsia="宋体" w:cs="宋体"/>
                <w:color w:val="auto"/>
                <w:sz w:val="24"/>
                <w:szCs w:val="24"/>
                <w:highlight w:val="none"/>
              </w:rPr>
            </w:pPr>
          </w:p>
        </w:tc>
        <w:tc>
          <w:tcPr>
            <w:tcW w:w="1344" w:type="dxa"/>
            <w:tcBorders>
              <w:top w:val="single" w:color="000000" w:sz="6" w:space="0"/>
              <w:left w:val="single" w:color="000000" w:sz="6" w:space="0"/>
              <w:bottom w:val="single" w:color="000000" w:sz="6" w:space="0"/>
              <w:right w:val="single" w:color="000000" w:sz="6" w:space="0"/>
            </w:tcBorders>
            <w:noWrap w:val="0"/>
          </w:tcPr>
          <w:p w14:paraId="6ACC2B70">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3030" w:type="dxa"/>
            <w:gridSpan w:val="2"/>
            <w:tcBorders>
              <w:top w:val="single" w:color="000000" w:sz="6" w:space="0"/>
              <w:left w:val="single" w:color="000000" w:sz="6" w:space="0"/>
              <w:bottom w:val="single" w:color="000000" w:sz="6" w:space="0"/>
              <w:right w:val="single" w:color="000000" w:sz="6" w:space="0"/>
            </w:tcBorders>
            <w:noWrap w:val="0"/>
          </w:tcPr>
          <w:p w14:paraId="5C6FBA0E">
            <w:pPr>
              <w:pStyle w:val="16"/>
              <w:ind w:firstLine="21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33B479FD">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tcPr>
          <w:p w14:paraId="13B0ADEA">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54F9F75D">
            <w:pPr>
              <w:pStyle w:val="16"/>
              <w:ind w:firstLine="0"/>
              <w:rPr>
                <w:rFonts w:hint="eastAsia" w:ascii="宋体" w:hAnsi="宋体" w:eastAsia="宋体" w:cs="宋体"/>
                <w:color w:val="auto"/>
                <w:sz w:val="24"/>
                <w:szCs w:val="24"/>
                <w:highlight w:val="none"/>
              </w:rPr>
            </w:pPr>
          </w:p>
        </w:tc>
      </w:tr>
      <w:tr w14:paraId="152A8B75">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tcPr>
          <w:p w14:paraId="13B427E1">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职工人数</w:t>
            </w:r>
          </w:p>
        </w:tc>
        <w:tc>
          <w:tcPr>
            <w:tcW w:w="1845" w:type="dxa"/>
            <w:tcBorders>
              <w:top w:val="single" w:color="000000" w:sz="6" w:space="0"/>
              <w:left w:val="single" w:color="000000" w:sz="6" w:space="0"/>
              <w:bottom w:val="single" w:color="000000" w:sz="6" w:space="0"/>
              <w:right w:val="single" w:color="000000" w:sz="6" w:space="0"/>
            </w:tcBorders>
            <w:noWrap w:val="0"/>
          </w:tcPr>
          <w:p w14:paraId="10BB7AA7">
            <w:pPr>
              <w:pStyle w:val="16"/>
              <w:ind w:firstLine="0"/>
              <w:rPr>
                <w:rFonts w:hint="eastAsia" w:ascii="宋体" w:hAnsi="宋体" w:eastAsia="宋体" w:cs="宋体"/>
                <w:color w:val="auto"/>
                <w:sz w:val="24"/>
                <w:szCs w:val="24"/>
                <w:highlight w:val="none"/>
              </w:rPr>
            </w:pPr>
          </w:p>
        </w:tc>
        <w:tc>
          <w:tcPr>
            <w:tcW w:w="3236" w:type="dxa"/>
            <w:gridSpan w:val="2"/>
            <w:tcBorders>
              <w:top w:val="single" w:color="000000" w:sz="6" w:space="0"/>
              <w:left w:val="single" w:color="000000" w:sz="6" w:space="0"/>
              <w:bottom w:val="single" w:color="000000" w:sz="6" w:space="0"/>
              <w:right w:val="single" w:color="000000" w:sz="6" w:space="0"/>
            </w:tcBorders>
            <w:noWrap w:val="0"/>
          </w:tcPr>
          <w:p w14:paraId="2E1D6648">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其中：有中高级以上职称的人数</w:t>
            </w:r>
          </w:p>
        </w:tc>
        <w:tc>
          <w:tcPr>
            <w:tcW w:w="1138" w:type="dxa"/>
            <w:tcBorders>
              <w:top w:val="single" w:color="000000" w:sz="6" w:space="0"/>
              <w:left w:val="single" w:color="000000" w:sz="6" w:space="0"/>
              <w:bottom w:val="single" w:color="000000" w:sz="6" w:space="0"/>
              <w:right w:val="single" w:color="000000" w:sz="6" w:space="0"/>
            </w:tcBorders>
            <w:noWrap w:val="0"/>
          </w:tcPr>
          <w:p w14:paraId="043EB4EE">
            <w:pPr>
              <w:pStyle w:val="16"/>
              <w:ind w:firstLine="0"/>
              <w:rPr>
                <w:rFonts w:hint="eastAsia" w:ascii="宋体" w:hAnsi="宋体" w:eastAsia="宋体" w:cs="宋体"/>
                <w:color w:val="auto"/>
                <w:sz w:val="24"/>
                <w:szCs w:val="24"/>
                <w:highlight w:val="none"/>
              </w:rPr>
            </w:pPr>
          </w:p>
        </w:tc>
      </w:tr>
      <w:tr w14:paraId="1ED6BA34">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09235C8B">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资产总计</w:t>
            </w:r>
          </w:p>
        </w:tc>
        <w:tc>
          <w:tcPr>
            <w:tcW w:w="1845" w:type="dxa"/>
            <w:tcBorders>
              <w:top w:val="single" w:color="000000" w:sz="6" w:space="0"/>
              <w:left w:val="single" w:color="000000" w:sz="6" w:space="0"/>
              <w:bottom w:val="single" w:color="000000" w:sz="6" w:space="0"/>
              <w:right w:val="single" w:color="000000" w:sz="6" w:space="0"/>
            </w:tcBorders>
            <w:noWrap w:val="0"/>
            <w:vAlign w:val="center"/>
          </w:tcPr>
          <w:p w14:paraId="6611F7F3">
            <w:pPr>
              <w:pStyle w:val="16"/>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344" w:type="dxa"/>
            <w:tcBorders>
              <w:top w:val="single" w:color="000000" w:sz="6" w:space="0"/>
              <w:left w:val="single" w:color="000000" w:sz="6" w:space="0"/>
              <w:bottom w:val="single" w:color="000000" w:sz="6" w:space="0"/>
              <w:right w:val="single" w:color="000000" w:sz="6" w:space="0"/>
            </w:tcBorders>
            <w:noWrap w:val="0"/>
            <w:vAlign w:val="center"/>
          </w:tcPr>
          <w:p w14:paraId="459CFDA8">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3030" w:type="dxa"/>
            <w:gridSpan w:val="2"/>
            <w:tcBorders>
              <w:top w:val="single" w:color="000000" w:sz="6" w:space="0"/>
              <w:left w:val="single" w:color="000000" w:sz="6" w:space="0"/>
              <w:bottom w:val="single" w:color="000000" w:sz="6" w:space="0"/>
              <w:right w:val="single" w:color="000000" w:sz="6" w:space="0"/>
            </w:tcBorders>
            <w:noWrap w:val="0"/>
            <w:vAlign w:val="center"/>
          </w:tcPr>
          <w:p w14:paraId="1B819BD1">
            <w:pPr>
              <w:pStyle w:val="16"/>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r>
      <w:tr w14:paraId="63105407">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36E56A06">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股东权益</w:t>
            </w:r>
          </w:p>
        </w:tc>
        <w:tc>
          <w:tcPr>
            <w:tcW w:w="1845" w:type="dxa"/>
            <w:tcBorders>
              <w:top w:val="single" w:color="000000" w:sz="6" w:space="0"/>
              <w:left w:val="single" w:color="000000" w:sz="6" w:space="0"/>
              <w:bottom w:val="single" w:color="000000" w:sz="6" w:space="0"/>
              <w:right w:val="single" w:color="000000" w:sz="6" w:space="0"/>
            </w:tcBorders>
            <w:noWrap w:val="0"/>
            <w:vAlign w:val="center"/>
          </w:tcPr>
          <w:p w14:paraId="1022882C">
            <w:pPr>
              <w:pStyle w:val="16"/>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344" w:type="dxa"/>
            <w:tcBorders>
              <w:top w:val="single" w:color="000000" w:sz="6" w:space="0"/>
              <w:left w:val="single" w:color="000000" w:sz="6" w:space="0"/>
              <w:bottom w:val="single" w:color="000000" w:sz="6" w:space="0"/>
              <w:right w:val="single" w:color="000000" w:sz="6" w:space="0"/>
            </w:tcBorders>
            <w:noWrap w:val="0"/>
            <w:vAlign w:val="center"/>
          </w:tcPr>
          <w:p w14:paraId="1C79735E">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销售收入</w:t>
            </w:r>
          </w:p>
        </w:tc>
        <w:tc>
          <w:tcPr>
            <w:tcW w:w="3030" w:type="dxa"/>
            <w:gridSpan w:val="2"/>
            <w:tcBorders>
              <w:top w:val="single" w:color="000000" w:sz="6" w:space="0"/>
              <w:left w:val="single" w:color="000000" w:sz="6" w:space="0"/>
              <w:bottom w:val="single" w:color="000000" w:sz="6" w:space="0"/>
              <w:right w:val="single" w:color="000000" w:sz="6" w:space="0"/>
            </w:tcBorders>
            <w:noWrap w:val="0"/>
            <w:vAlign w:val="center"/>
          </w:tcPr>
          <w:p w14:paraId="20D5B0CE">
            <w:pPr>
              <w:pStyle w:val="16"/>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          万元</w:t>
            </w:r>
          </w:p>
        </w:tc>
      </w:tr>
      <w:tr w14:paraId="2234892E">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tcPr>
          <w:p w14:paraId="011399CD">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实现利润</w:t>
            </w:r>
          </w:p>
        </w:tc>
        <w:tc>
          <w:tcPr>
            <w:tcW w:w="1845" w:type="dxa"/>
            <w:tcBorders>
              <w:top w:val="single" w:color="000000" w:sz="6" w:space="0"/>
              <w:left w:val="single" w:color="000000" w:sz="6" w:space="0"/>
              <w:bottom w:val="single" w:color="000000" w:sz="6" w:space="0"/>
              <w:right w:val="single" w:color="000000" w:sz="6" w:space="0"/>
            </w:tcBorders>
            <w:noWrap w:val="0"/>
          </w:tcPr>
          <w:p w14:paraId="3078ADD5">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  万元</w:t>
            </w:r>
          </w:p>
        </w:tc>
        <w:tc>
          <w:tcPr>
            <w:tcW w:w="1344" w:type="dxa"/>
            <w:tcBorders>
              <w:top w:val="single" w:color="000000" w:sz="6" w:space="0"/>
              <w:left w:val="single" w:color="000000" w:sz="6" w:space="0"/>
              <w:bottom w:val="single" w:color="000000" w:sz="6" w:space="0"/>
              <w:right w:val="single" w:color="000000" w:sz="6" w:space="0"/>
            </w:tcBorders>
            <w:noWrap w:val="0"/>
          </w:tcPr>
          <w:p w14:paraId="539011CB">
            <w:pPr>
              <w:pStyle w:val="16"/>
              <w:ind w:firstLine="0"/>
              <w:rPr>
                <w:rFonts w:hint="eastAsia" w:ascii="宋体" w:hAnsi="宋体" w:eastAsia="宋体" w:cs="宋体"/>
                <w:color w:val="auto"/>
                <w:sz w:val="24"/>
                <w:szCs w:val="24"/>
                <w:highlight w:val="none"/>
              </w:rPr>
            </w:pPr>
          </w:p>
        </w:tc>
        <w:tc>
          <w:tcPr>
            <w:tcW w:w="3030" w:type="dxa"/>
            <w:gridSpan w:val="2"/>
            <w:tcBorders>
              <w:top w:val="single" w:color="000000" w:sz="6" w:space="0"/>
              <w:left w:val="single" w:color="000000" w:sz="6" w:space="0"/>
              <w:bottom w:val="single" w:color="000000" w:sz="6" w:space="0"/>
              <w:right w:val="single" w:color="000000" w:sz="6" w:space="0"/>
            </w:tcBorders>
            <w:noWrap w:val="0"/>
          </w:tcPr>
          <w:p w14:paraId="6CD7B362">
            <w:pPr>
              <w:pStyle w:val="16"/>
              <w:ind w:firstLine="0"/>
              <w:rPr>
                <w:rFonts w:hint="eastAsia" w:ascii="宋体" w:hAnsi="宋体" w:eastAsia="宋体" w:cs="宋体"/>
                <w:color w:val="auto"/>
                <w:sz w:val="24"/>
                <w:szCs w:val="24"/>
                <w:highlight w:val="none"/>
              </w:rPr>
            </w:pPr>
          </w:p>
        </w:tc>
      </w:tr>
      <w:tr w14:paraId="2EEFEDA7">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tcPr>
          <w:p w14:paraId="4DB5ABB2">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营业面积（含厂房面积）</w:t>
            </w:r>
          </w:p>
        </w:tc>
        <w:tc>
          <w:tcPr>
            <w:tcW w:w="1845" w:type="dxa"/>
            <w:tcBorders>
              <w:top w:val="single" w:color="000000" w:sz="6" w:space="0"/>
              <w:left w:val="single" w:color="000000" w:sz="6" w:space="0"/>
              <w:bottom w:val="single" w:color="000000" w:sz="6" w:space="0"/>
              <w:right w:val="single" w:color="000000" w:sz="6" w:space="0"/>
            </w:tcBorders>
            <w:noWrap w:val="0"/>
            <w:vAlign w:val="center"/>
          </w:tcPr>
          <w:p w14:paraId="673F6AFC">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p>
        </w:tc>
        <w:tc>
          <w:tcPr>
            <w:tcW w:w="1344" w:type="dxa"/>
            <w:tcBorders>
              <w:top w:val="single" w:color="000000" w:sz="6" w:space="0"/>
              <w:left w:val="single" w:color="000000" w:sz="6" w:space="0"/>
              <w:bottom w:val="single" w:color="000000" w:sz="6" w:space="0"/>
              <w:right w:val="single" w:color="000000" w:sz="6" w:space="0"/>
            </w:tcBorders>
            <w:noWrap w:val="0"/>
          </w:tcPr>
          <w:p w14:paraId="588525C4">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3030" w:type="dxa"/>
            <w:gridSpan w:val="2"/>
            <w:tcBorders>
              <w:top w:val="single" w:color="000000" w:sz="6" w:space="0"/>
              <w:left w:val="single" w:color="000000" w:sz="6" w:space="0"/>
              <w:bottom w:val="single" w:color="000000" w:sz="6" w:space="0"/>
              <w:right w:val="single" w:color="000000" w:sz="6" w:space="0"/>
            </w:tcBorders>
            <w:noWrap w:val="0"/>
          </w:tcPr>
          <w:p w14:paraId="4167E298">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         平方米</w:t>
            </w:r>
          </w:p>
          <w:p w14:paraId="31A3EB6D">
            <w:pPr>
              <w:pStyle w:val="1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         平方米</w:t>
            </w:r>
          </w:p>
        </w:tc>
      </w:tr>
      <w:tr w14:paraId="2A8CF994">
        <w:tblPrEx>
          <w:tblCellMar>
            <w:top w:w="0" w:type="dxa"/>
            <w:left w:w="108" w:type="dxa"/>
            <w:bottom w:w="0" w:type="dxa"/>
            <w:right w:w="108" w:type="dxa"/>
          </w:tblCellMar>
        </w:tblPrEx>
        <w:trPr>
          <w:cantSplit/>
          <w:trHeight w:val="926"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3C1B8539">
            <w:pPr>
              <w:pStyle w:val="16"/>
              <w:ind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单位简历及内设机构情况</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2FB748F9">
            <w:pPr>
              <w:pStyle w:val="16"/>
              <w:ind w:firstLine="0"/>
              <w:rPr>
                <w:rFonts w:hint="eastAsia" w:ascii="宋体" w:hAnsi="宋体" w:eastAsia="宋体" w:cs="宋体"/>
                <w:color w:val="auto"/>
                <w:sz w:val="24"/>
                <w:szCs w:val="24"/>
                <w:highlight w:val="none"/>
              </w:rPr>
            </w:pPr>
          </w:p>
        </w:tc>
      </w:tr>
      <w:tr w14:paraId="03682BEA">
        <w:tblPrEx>
          <w:tblCellMar>
            <w:top w:w="0" w:type="dxa"/>
            <w:left w:w="108" w:type="dxa"/>
            <w:bottom w:w="0" w:type="dxa"/>
            <w:right w:w="108" w:type="dxa"/>
          </w:tblCellMar>
        </w:tblPrEx>
        <w:trPr>
          <w:cantSplit/>
          <w:trHeight w:val="806"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798CFC6F">
            <w:pPr>
              <w:pStyle w:val="16"/>
              <w:ind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单位优势及特长</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06022369">
            <w:pPr>
              <w:pStyle w:val="16"/>
              <w:ind w:firstLine="0"/>
              <w:rPr>
                <w:rFonts w:hint="eastAsia" w:ascii="宋体" w:hAnsi="宋体" w:eastAsia="宋体" w:cs="宋体"/>
                <w:color w:val="auto"/>
                <w:sz w:val="24"/>
                <w:szCs w:val="24"/>
                <w:highlight w:val="none"/>
              </w:rPr>
            </w:pPr>
          </w:p>
        </w:tc>
      </w:tr>
      <w:tr w14:paraId="7D1D13EB">
        <w:tblPrEx>
          <w:tblCellMar>
            <w:top w:w="0" w:type="dxa"/>
            <w:left w:w="108" w:type="dxa"/>
            <w:bottom w:w="0" w:type="dxa"/>
            <w:right w:w="108" w:type="dxa"/>
          </w:tblCellMar>
        </w:tblPrEx>
        <w:trPr>
          <w:cantSplit/>
          <w:trHeight w:val="847"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431FE719">
            <w:pPr>
              <w:pStyle w:val="16"/>
              <w:ind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商业信誉和健全的财务会计制度介绍</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347BA280">
            <w:pPr>
              <w:pStyle w:val="16"/>
              <w:ind w:firstLine="0"/>
              <w:rPr>
                <w:rFonts w:hint="eastAsia" w:ascii="宋体" w:hAnsi="宋体" w:eastAsia="宋体" w:cs="宋体"/>
                <w:color w:val="auto"/>
                <w:sz w:val="24"/>
                <w:szCs w:val="24"/>
                <w:highlight w:val="none"/>
              </w:rPr>
            </w:pPr>
          </w:p>
        </w:tc>
      </w:tr>
      <w:tr w14:paraId="5AED9C8C">
        <w:tblPrEx>
          <w:tblCellMar>
            <w:top w:w="0" w:type="dxa"/>
            <w:left w:w="108" w:type="dxa"/>
            <w:bottom w:w="0" w:type="dxa"/>
            <w:right w:w="108" w:type="dxa"/>
          </w:tblCellMar>
        </w:tblPrEx>
        <w:trPr>
          <w:cantSplit/>
          <w:trHeight w:val="859"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74082744">
            <w:pPr>
              <w:pStyle w:val="16"/>
              <w:ind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履行合同所必需的设备和专业技术能力情况</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107254B2">
            <w:pPr>
              <w:pStyle w:val="16"/>
              <w:ind w:firstLine="0"/>
              <w:rPr>
                <w:rFonts w:hint="eastAsia" w:ascii="宋体" w:hAnsi="宋体" w:eastAsia="宋体" w:cs="宋体"/>
                <w:color w:val="auto"/>
                <w:sz w:val="24"/>
                <w:szCs w:val="24"/>
                <w:highlight w:val="none"/>
              </w:rPr>
            </w:pPr>
          </w:p>
        </w:tc>
      </w:tr>
      <w:tr w14:paraId="02A6B55E">
        <w:tblPrEx>
          <w:tblCellMar>
            <w:top w:w="0" w:type="dxa"/>
            <w:left w:w="108" w:type="dxa"/>
            <w:bottom w:w="0" w:type="dxa"/>
            <w:right w:w="108" w:type="dxa"/>
          </w:tblCellMar>
        </w:tblPrEx>
        <w:trPr>
          <w:cantSplit/>
          <w:trHeight w:val="907"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18D7910F">
            <w:pPr>
              <w:pStyle w:val="16"/>
              <w:ind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依法缴纳税收和社会保障资金情况</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0EFFB70C">
            <w:pPr>
              <w:pStyle w:val="16"/>
              <w:ind w:firstLine="0"/>
              <w:rPr>
                <w:rFonts w:hint="eastAsia" w:ascii="宋体" w:hAnsi="宋体" w:eastAsia="宋体" w:cs="宋体"/>
                <w:color w:val="auto"/>
                <w:sz w:val="24"/>
                <w:szCs w:val="24"/>
                <w:highlight w:val="none"/>
              </w:rPr>
            </w:pPr>
          </w:p>
        </w:tc>
      </w:tr>
      <w:tr w14:paraId="3482F1D7">
        <w:tblPrEx>
          <w:tblCellMar>
            <w:top w:w="0" w:type="dxa"/>
            <w:left w:w="108" w:type="dxa"/>
            <w:bottom w:w="0" w:type="dxa"/>
            <w:right w:w="108" w:type="dxa"/>
          </w:tblCellMar>
        </w:tblPrEx>
        <w:trPr>
          <w:cantSplit/>
          <w:trHeight w:val="1062"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1D975F09">
            <w:pPr>
              <w:pStyle w:val="16"/>
              <w:ind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参加采购活动前三年内，在经营活动中有无重大违法记录</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490B287B">
            <w:pPr>
              <w:pStyle w:val="16"/>
              <w:ind w:firstLine="0"/>
              <w:rPr>
                <w:rFonts w:hint="eastAsia" w:ascii="宋体" w:hAnsi="宋体" w:eastAsia="宋体" w:cs="宋体"/>
                <w:color w:val="auto"/>
                <w:sz w:val="24"/>
                <w:szCs w:val="24"/>
                <w:highlight w:val="none"/>
              </w:rPr>
            </w:pPr>
          </w:p>
        </w:tc>
      </w:tr>
      <w:tr w14:paraId="44C49CB0">
        <w:tblPrEx>
          <w:tblCellMar>
            <w:top w:w="0" w:type="dxa"/>
            <w:left w:w="108" w:type="dxa"/>
            <w:bottom w:w="0" w:type="dxa"/>
            <w:right w:w="108" w:type="dxa"/>
          </w:tblCellMar>
        </w:tblPrEx>
        <w:trPr>
          <w:cantSplit/>
          <w:trHeight w:val="551"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12896379">
            <w:pPr>
              <w:pStyle w:val="16"/>
              <w:ind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其他需要说明的情况</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7FFC3766">
            <w:pPr>
              <w:pStyle w:val="16"/>
              <w:ind w:firstLine="0"/>
              <w:rPr>
                <w:rFonts w:hint="eastAsia" w:ascii="宋体" w:hAnsi="宋体" w:eastAsia="宋体" w:cs="宋体"/>
                <w:color w:val="auto"/>
                <w:sz w:val="24"/>
                <w:szCs w:val="24"/>
                <w:highlight w:val="none"/>
              </w:rPr>
            </w:pPr>
          </w:p>
        </w:tc>
      </w:tr>
    </w:tbl>
    <w:p w14:paraId="37098856">
      <w:pPr>
        <w:pStyle w:val="16"/>
        <w:ind w:firstLine="0"/>
        <w:rPr>
          <w:rFonts w:hint="eastAsia" w:ascii="宋体" w:hAnsi="宋体" w:eastAsia="宋体" w:cs="宋体"/>
          <w:b/>
          <w:bCs/>
          <w:color w:val="auto"/>
          <w:sz w:val="24"/>
          <w:szCs w:val="24"/>
          <w:highlight w:val="none"/>
        </w:rPr>
      </w:pPr>
    </w:p>
    <w:p w14:paraId="4C5ABB1F">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p>
    <w:p w14:paraId="1611E8E6">
      <w:pPr>
        <w:pStyle w:val="16"/>
        <w:ind w:firstLine="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格式</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w:t>
      </w:r>
      <w:r>
        <w:rPr>
          <w:rFonts w:hint="eastAsia" w:ascii="宋体" w:hAnsi="宋体" w:eastAsia="宋体" w:cs="宋体"/>
          <w:b/>
          <w:bCs/>
          <w:color w:val="auto"/>
          <w:sz w:val="24"/>
          <w:szCs w:val="24"/>
          <w:highlight w:val="none"/>
        </w:rPr>
        <w:t>参加政府采购活动前3年内在经营活动中没有重大违法记录的书面声明</w:t>
      </w:r>
    </w:p>
    <w:p w14:paraId="4D95ED4A">
      <w:pPr>
        <w:spacing w:line="440" w:lineRule="exact"/>
        <w:jc w:val="center"/>
        <w:rPr>
          <w:rFonts w:hint="eastAsia" w:ascii="宋体" w:hAnsi="宋体" w:eastAsia="宋体" w:cs="宋体"/>
          <w:b/>
          <w:bCs/>
          <w:color w:val="auto"/>
          <w:sz w:val="24"/>
          <w:szCs w:val="24"/>
          <w:highlight w:val="none"/>
        </w:rPr>
      </w:pPr>
    </w:p>
    <w:p w14:paraId="257DF545">
      <w:pPr>
        <w:pStyle w:val="253"/>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参加政府采购活动前3年内在经营活动中没有重大违法记录的书面声明</w:t>
      </w:r>
    </w:p>
    <w:p w14:paraId="433223E9">
      <w:pPr>
        <w:spacing w:line="360" w:lineRule="auto"/>
        <w:rPr>
          <w:rFonts w:hint="eastAsia" w:ascii="宋体" w:hAnsi="宋体" w:eastAsia="宋体" w:cs="宋体"/>
          <w:color w:val="auto"/>
          <w:sz w:val="24"/>
          <w:szCs w:val="24"/>
          <w:highlight w:val="none"/>
        </w:rPr>
      </w:pPr>
    </w:p>
    <w:p w14:paraId="6ED1B85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苏州泛亚万隆建设工程咨询有限公司</w:t>
      </w:r>
      <w:r>
        <w:rPr>
          <w:rFonts w:hint="eastAsia" w:ascii="宋体" w:hAnsi="宋体" w:eastAsia="宋体" w:cs="宋体"/>
          <w:color w:val="auto"/>
          <w:sz w:val="24"/>
          <w:szCs w:val="24"/>
          <w:highlight w:val="none"/>
        </w:rPr>
        <w:t>：</w:t>
      </w:r>
    </w:p>
    <w:p w14:paraId="1557411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 在参加政府采购活动前三年内，没有重大违法记录，特此声明。</w:t>
      </w:r>
    </w:p>
    <w:p w14:paraId="05F9BF4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若采购代理机构在本项目采购过程中发现我单位近三年内在政府采购活动中有重大违法记录，我单位将无条件退出本项目的招标，并承担因此引起的一起后果。</w:t>
      </w:r>
    </w:p>
    <w:p w14:paraId="664AD8CB">
      <w:pPr>
        <w:pStyle w:val="445"/>
        <w:spacing w:line="360" w:lineRule="auto"/>
        <w:ind w:right="480"/>
        <w:rPr>
          <w:rFonts w:hint="eastAsia" w:ascii="宋体" w:hAnsi="宋体" w:eastAsia="宋体" w:cs="宋体"/>
          <w:color w:val="auto"/>
          <w:sz w:val="24"/>
          <w:szCs w:val="24"/>
          <w:highlight w:val="none"/>
        </w:rPr>
      </w:pPr>
    </w:p>
    <w:p w14:paraId="058D9692">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4670CCC7">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p>
    <w:p w14:paraId="34DB3289">
      <w:pPr>
        <w:keepNext w:val="0"/>
        <w:keepLines w:val="0"/>
        <w:pageBreakBefore w:val="0"/>
        <w:widowControl w:val="0"/>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投标日期：年月日</w:t>
      </w:r>
    </w:p>
    <w:p w14:paraId="142B8556">
      <w:pPr>
        <w:pStyle w:val="445"/>
        <w:spacing w:line="360" w:lineRule="auto"/>
        <w:ind w:right="480" w:firstLine="4920"/>
        <w:rPr>
          <w:rFonts w:hint="eastAsia" w:ascii="宋体" w:hAnsi="宋体" w:eastAsia="宋体" w:cs="宋体"/>
          <w:b/>
          <w:bCs/>
          <w:color w:val="auto"/>
          <w:sz w:val="24"/>
          <w:szCs w:val="24"/>
          <w:highlight w:val="none"/>
          <w:lang w:val="zh-CN"/>
        </w:rPr>
      </w:pPr>
    </w:p>
    <w:p w14:paraId="07DEC732">
      <w:pPr>
        <w:spacing w:line="360" w:lineRule="auto"/>
        <w:rPr>
          <w:rFonts w:hint="eastAsia" w:ascii="宋体" w:hAnsi="宋体" w:eastAsia="宋体" w:cs="宋体"/>
          <w:b/>
          <w:bCs/>
          <w:color w:val="auto"/>
          <w:sz w:val="24"/>
          <w:szCs w:val="24"/>
          <w:highlight w:val="none"/>
          <w:lang w:val="zh-CN"/>
        </w:rPr>
      </w:pPr>
    </w:p>
    <w:p w14:paraId="41B4BDAB">
      <w:pPr>
        <w:widowControl/>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br w:type="page" w:clear="all"/>
      </w:r>
    </w:p>
    <w:p w14:paraId="0781F4EB">
      <w:pPr>
        <w:spacing w:line="400" w:lineRule="exact"/>
        <w:rPr>
          <w:rFonts w:hint="eastAsia" w:ascii="宋体" w:hAnsi="宋体" w:eastAsia="宋体" w:cs="宋体"/>
          <w:b/>
          <w:bCs/>
          <w:color w:val="auto"/>
          <w:sz w:val="24"/>
          <w:szCs w:val="24"/>
          <w:highlight w:val="none"/>
          <w:lang w:val="zh-CN"/>
        </w:rPr>
      </w:pPr>
      <w:r>
        <w:rPr>
          <w:rFonts w:hint="eastAsia" w:ascii="宋体" w:hAnsi="宋体" w:eastAsia="宋体" w:cs="宋体"/>
          <w:bCs/>
          <w:color w:val="auto"/>
          <w:sz w:val="24"/>
          <w:szCs w:val="24"/>
          <w:highlight w:val="none"/>
          <w:lang w:val="zh-CN"/>
        </w:rPr>
        <w:t>格式</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val="zh-CN"/>
        </w:rPr>
        <w:t>、</w:t>
      </w:r>
      <w:r>
        <w:rPr>
          <w:rFonts w:hint="eastAsia" w:ascii="宋体" w:hAnsi="宋体" w:eastAsia="宋体" w:cs="宋体"/>
          <w:b/>
          <w:bCs/>
          <w:color w:val="auto"/>
          <w:sz w:val="24"/>
          <w:szCs w:val="24"/>
          <w:highlight w:val="none"/>
          <w:lang w:val="zh-CN"/>
        </w:rPr>
        <w:t>中小企业声明函</w:t>
      </w:r>
    </w:p>
    <w:p w14:paraId="01309EBE">
      <w:pPr>
        <w:pStyle w:val="25"/>
        <w:ind w:firstLine="250"/>
        <w:jc w:val="center"/>
        <w:rPr>
          <w:rFonts w:hint="eastAsia" w:ascii="宋体" w:hAnsi="宋体" w:eastAsia="宋体" w:cs="宋体"/>
          <w:color w:val="auto"/>
          <w:sz w:val="24"/>
          <w:szCs w:val="24"/>
          <w:highlight w:val="none"/>
          <w:lang w:val="zh-CN"/>
        </w:rPr>
      </w:pPr>
    </w:p>
    <w:p w14:paraId="0FF6F95F">
      <w:pPr>
        <w:pStyle w:val="253"/>
        <w:keepNext w:val="0"/>
        <w:keepLines w:val="0"/>
        <w:pageBreakBefore w:val="0"/>
        <w:widowControl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中小企业声明函（</w:t>
      </w:r>
      <w:r>
        <w:rPr>
          <w:rFonts w:hint="eastAsia" w:ascii="宋体" w:hAnsi="宋体" w:eastAsia="宋体" w:cs="宋体"/>
          <w:b/>
          <w:color w:val="auto"/>
          <w:sz w:val="24"/>
          <w:szCs w:val="24"/>
          <w:highlight w:val="none"/>
          <w:lang w:val="en-US" w:eastAsia="zh-CN"/>
        </w:rPr>
        <w:t>工程、服务</w:t>
      </w:r>
      <w:r>
        <w:rPr>
          <w:rFonts w:hint="eastAsia" w:ascii="宋体" w:hAnsi="宋体" w:eastAsia="宋体" w:cs="宋体"/>
          <w:b/>
          <w:color w:val="auto"/>
          <w:sz w:val="24"/>
          <w:szCs w:val="24"/>
          <w:highlight w:val="none"/>
        </w:rPr>
        <w:t>）</w:t>
      </w:r>
    </w:p>
    <w:p w14:paraId="5EC34CD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DADED4E">
      <w:pPr>
        <w:numPr>
          <w:ilvl w:val="0"/>
          <w:numId w:val="6"/>
        </w:num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恒通佳苑消防改造项目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建筑业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 xml:space="preserve">    （中型企业、小型企业、微型企业）</w:t>
      </w:r>
      <w:r>
        <w:rPr>
          <w:rFonts w:hint="eastAsia" w:ascii="宋体" w:hAnsi="宋体" w:eastAsia="宋体" w:cs="宋体"/>
          <w:color w:val="auto"/>
          <w:sz w:val="24"/>
          <w:szCs w:val="24"/>
          <w:highlight w:val="none"/>
        </w:rPr>
        <w:t>；</w:t>
      </w:r>
    </w:p>
    <w:p w14:paraId="2144D8A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p>
    <w:p w14:paraId="054EF1E0">
      <w:pPr>
        <w:spacing w:line="360" w:lineRule="auto"/>
        <w:ind w:firstLine="6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1E3F059E">
      <w:pPr>
        <w:spacing w:line="360" w:lineRule="auto"/>
        <w:ind w:firstLine="6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87C47C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注：从业人员、营业收入、资产总额填报上一年度数据，无上一年度数据的新成立企业可不填报。</w:t>
      </w:r>
    </w:p>
    <w:p w14:paraId="5AB1777F">
      <w:pPr>
        <w:spacing w:line="440" w:lineRule="exact"/>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p w14:paraId="4BD7AD3E">
      <w:pPr>
        <w:spacing w:line="46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1、本项目为</w:t>
      </w:r>
      <w:r>
        <w:rPr>
          <w:rFonts w:hint="eastAsia" w:ascii="宋体" w:hAnsi="宋体" w:eastAsia="宋体" w:cs="宋体"/>
          <w:b/>
          <w:bCs/>
          <w:color w:val="auto"/>
          <w:sz w:val="24"/>
          <w:szCs w:val="24"/>
          <w:highlight w:val="none"/>
        </w:rPr>
        <w:t>专门面向中小企业采购</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投标人</w:t>
      </w:r>
      <w:r>
        <w:rPr>
          <w:rFonts w:hint="eastAsia" w:ascii="宋体" w:hAnsi="宋体" w:eastAsia="宋体" w:cs="宋体"/>
          <w:b/>
          <w:color w:val="auto"/>
          <w:sz w:val="24"/>
          <w:szCs w:val="24"/>
          <w:highlight w:val="none"/>
        </w:rPr>
        <w:t>应提供中小企业声明函或残疾人福利性单位声明函或省级以上监狱管理局、戒毒管理局（含新疆生产建设兵团）出具的属于监狱企业的证明文件,否则视为投标无效。</w:t>
      </w:r>
    </w:p>
    <w:p w14:paraId="56825997">
      <w:pPr>
        <w:pStyle w:val="60"/>
        <w:spacing w:before="0" w:beforeAutospacing="0" w:after="0" w:afterAutospacing="0"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2、中标、成交供应商享受规定的中小企业扶持政策的，《中小企业声明函》应当随中标、成交结果同时公告，接受社会监督。</w:t>
      </w:r>
    </w:p>
    <w:p w14:paraId="1362AC13">
      <w:pPr>
        <w:pStyle w:val="60"/>
        <w:spacing w:before="0" w:beforeAutospacing="0" w:after="0" w:afterAutospacing="0"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3、供应商按规定提供声明函内容不实的，属于提供虚假材料谋取中标、 成交， 依照《中华人民共和国政府采购法》 等国家有关规定追究相应责任。</w:t>
      </w:r>
    </w:p>
    <w:p w14:paraId="26A7E54D">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br w:type="page" w:clear="all"/>
      </w:r>
    </w:p>
    <w:p w14:paraId="639C599F">
      <w:pPr>
        <w:spacing w:line="400" w:lineRule="exact"/>
        <w:rPr>
          <w:rFonts w:hint="eastAsia" w:ascii="宋体" w:hAnsi="宋体" w:eastAsia="宋体" w:cs="宋体"/>
          <w:b/>
          <w:bCs/>
          <w:color w:val="auto"/>
          <w:sz w:val="24"/>
          <w:szCs w:val="24"/>
          <w:highlight w:val="none"/>
          <w:lang w:val="zh-CN"/>
        </w:rPr>
      </w:pPr>
      <w:r>
        <w:rPr>
          <w:rFonts w:hint="eastAsia" w:ascii="宋体" w:hAnsi="宋体" w:eastAsia="宋体" w:cs="宋体"/>
          <w:bCs/>
          <w:color w:val="auto"/>
          <w:sz w:val="24"/>
          <w:szCs w:val="24"/>
          <w:highlight w:val="none"/>
          <w:lang w:val="zh-CN"/>
        </w:rPr>
        <w:t>格式</w:t>
      </w: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val="zh-CN"/>
        </w:rPr>
        <w:t>、</w:t>
      </w:r>
      <w:r>
        <w:rPr>
          <w:rFonts w:hint="eastAsia" w:ascii="宋体" w:hAnsi="宋体" w:eastAsia="宋体" w:cs="宋体"/>
          <w:b/>
          <w:bCs/>
          <w:color w:val="auto"/>
          <w:sz w:val="24"/>
          <w:szCs w:val="24"/>
          <w:highlight w:val="none"/>
          <w:lang w:val="zh-CN"/>
        </w:rPr>
        <w:t>残疾人福利性单位声明函</w:t>
      </w:r>
    </w:p>
    <w:p w14:paraId="47CB6701">
      <w:pPr>
        <w:pStyle w:val="25"/>
        <w:ind w:firstLine="250"/>
        <w:rPr>
          <w:rFonts w:hint="eastAsia" w:ascii="宋体" w:hAnsi="宋体" w:eastAsia="宋体" w:cs="宋体"/>
          <w:color w:val="auto"/>
          <w:sz w:val="24"/>
          <w:szCs w:val="24"/>
          <w:highlight w:val="none"/>
        </w:rPr>
      </w:pPr>
    </w:p>
    <w:p w14:paraId="11540F84">
      <w:pPr>
        <w:pStyle w:val="253"/>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残疾人福利性单位声明函</w:t>
      </w:r>
    </w:p>
    <w:p w14:paraId="7EEEBBC3">
      <w:pPr>
        <w:spacing w:line="48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1DCDBCC">
      <w:pPr>
        <w:spacing w:line="48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42169B50">
      <w:pPr>
        <w:spacing w:line="480" w:lineRule="atLeast"/>
        <w:rPr>
          <w:rFonts w:hint="eastAsia" w:ascii="宋体" w:hAnsi="宋体" w:eastAsia="宋体" w:cs="宋体"/>
          <w:color w:val="auto"/>
          <w:sz w:val="24"/>
          <w:szCs w:val="24"/>
          <w:highlight w:val="none"/>
        </w:rPr>
      </w:pPr>
    </w:p>
    <w:p w14:paraId="5A655B19">
      <w:pPr>
        <w:spacing w:line="480" w:lineRule="atLeast"/>
        <w:rPr>
          <w:rFonts w:hint="eastAsia" w:ascii="宋体" w:hAnsi="宋体" w:eastAsia="宋体" w:cs="宋体"/>
          <w:color w:val="auto"/>
          <w:sz w:val="24"/>
          <w:szCs w:val="24"/>
          <w:highlight w:val="none"/>
        </w:rPr>
      </w:pPr>
    </w:p>
    <w:p w14:paraId="67AED3CC">
      <w:pPr>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企业名称（盖章）：</w:t>
      </w:r>
    </w:p>
    <w:p w14:paraId="5FAEC774">
      <w:pP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p>
    <w:p w14:paraId="1CBF298E">
      <w:pPr>
        <w:spacing w:line="400" w:lineRule="exact"/>
        <w:jc w:val="center"/>
        <w:rPr>
          <w:rFonts w:hint="eastAsia" w:ascii="宋体" w:hAnsi="宋体" w:eastAsia="宋体" w:cs="宋体"/>
          <w:b/>
          <w:bCs/>
          <w:color w:val="auto"/>
          <w:spacing w:val="20"/>
          <w:sz w:val="24"/>
          <w:szCs w:val="24"/>
          <w:highlight w:val="none"/>
        </w:rPr>
      </w:pPr>
    </w:p>
    <w:p w14:paraId="55471C59">
      <w:pPr>
        <w:spacing w:line="400" w:lineRule="exact"/>
        <w:jc w:val="center"/>
        <w:rPr>
          <w:rFonts w:hint="eastAsia" w:ascii="宋体" w:hAnsi="宋体" w:eastAsia="宋体" w:cs="宋体"/>
          <w:b/>
          <w:bCs/>
          <w:color w:val="auto"/>
          <w:spacing w:val="20"/>
          <w:sz w:val="24"/>
          <w:szCs w:val="24"/>
          <w:highlight w:val="none"/>
        </w:rPr>
      </w:pPr>
    </w:p>
    <w:p w14:paraId="22B77EAF">
      <w:pPr>
        <w:pStyle w:val="25"/>
        <w:ind w:firstLine="250"/>
        <w:rPr>
          <w:rFonts w:hint="eastAsia" w:ascii="宋体" w:hAnsi="宋体" w:eastAsia="宋体" w:cs="宋体"/>
          <w:color w:val="auto"/>
          <w:sz w:val="24"/>
          <w:szCs w:val="24"/>
          <w:highlight w:val="none"/>
        </w:rPr>
      </w:pPr>
    </w:p>
    <w:p w14:paraId="5AF113B1">
      <w:pPr>
        <w:pStyle w:val="25"/>
        <w:ind w:firstLine="250"/>
        <w:rPr>
          <w:rFonts w:hint="eastAsia" w:ascii="宋体" w:hAnsi="宋体" w:eastAsia="宋体" w:cs="宋体"/>
          <w:color w:val="auto"/>
          <w:sz w:val="24"/>
          <w:szCs w:val="24"/>
          <w:highlight w:val="none"/>
        </w:rPr>
      </w:pPr>
    </w:p>
    <w:p w14:paraId="575826BC">
      <w:pPr>
        <w:pStyle w:val="25"/>
        <w:ind w:firstLine="250"/>
        <w:rPr>
          <w:rFonts w:hint="eastAsia" w:ascii="宋体" w:hAnsi="宋体" w:eastAsia="宋体" w:cs="宋体"/>
          <w:color w:val="auto"/>
          <w:sz w:val="24"/>
          <w:szCs w:val="24"/>
          <w:highlight w:val="none"/>
        </w:rPr>
      </w:pPr>
    </w:p>
    <w:p w14:paraId="5EE66C49">
      <w:pPr>
        <w:pStyle w:val="25"/>
        <w:ind w:firstLine="250"/>
        <w:rPr>
          <w:rFonts w:hint="eastAsia" w:ascii="宋体" w:hAnsi="宋体" w:eastAsia="宋体" w:cs="宋体"/>
          <w:color w:val="auto"/>
          <w:sz w:val="24"/>
          <w:szCs w:val="24"/>
          <w:highlight w:val="none"/>
        </w:rPr>
      </w:pPr>
    </w:p>
    <w:p w14:paraId="041C568C">
      <w:pPr>
        <w:pStyle w:val="25"/>
        <w:ind w:firstLine="250"/>
        <w:rPr>
          <w:rFonts w:hint="eastAsia" w:ascii="宋体" w:hAnsi="宋体" w:eastAsia="宋体" w:cs="宋体"/>
          <w:color w:val="auto"/>
          <w:sz w:val="24"/>
          <w:szCs w:val="24"/>
          <w:highlight w:val="none"/>
        </w:rPr>
      </w:pPr>
    </w:p>
    <w:p w14:paraId="744283A6">
      <w:pPr>
        <w:pStyle w:val="25"/>
        <w:ind w:firstLine="250"/>
        <w:rPr>
          <w:rFonts w:hint="eastAsia" w:ascii="宋体" w:hAnsi="宋体" w:eastAsia="宋体" w:cs="宋体"/>
          <w:color w:val="auto"/>
          <w:sz w:val="24"/>
          <w:szCs w:val="24"/>
          <w:highlight w:val="none"/>
        </w:rPr>
      </w:pPr>
    </w:p>
    <w:p w14:paraId="46E89B08">
      <w:pPr>
        <w:pStyle w:val="25"/>
        <w:ind w:firstLine="250"/>
        <w:rPr>
          <w:rFonts w:hint="eastAsia" w:ascii="宋体" w:hAnsi="宋体" w:eastAsia="宋体" w:cs="宋体"/>
          <w:color w:val="auto"/>
          <w:sz w:val="24"/>
          <w:szCs w:val="24"/>
          <w:highlight w:val="none"/>
        </w:rPr>
      </w:pPr>
    </w:p>
    <w:p w14:paraId="536F50E1">
      <w:pPr>
        <w:pStyle w:val="25"/>
        <w:ind w:firstLine="250"/>
        <w:rPr>
          <w:rFonts w:hint="eastAsia" w:ascii="宋体" w:hAnsi="宋体" w:eastAsia="宋体" w:cs="宋体"/>
          <w:color w:val="auto"/>
          <w:sz w:val="24"/>
          <w:szCs w:val="24"/>
          <w:highlight w:val="none"/>
        </w:rPr>
      </w:pPr>
    </w:p>
    <w:p w14:paraId="6345699C">
      <w:pPr>
        <w:pStyle w:val="25"/>
        <w:ind w:firstLine="250"/>
        <w:rPr>
          <w:rFonts w:hint="eastAsia" w:ascii="宋体" w:hAnsi="宋体" w:eastAsia="宋体" w:cs="宋体"/>
          <w:color w:val="auto"/>
          <w:sz w:val="24"/>
          <w:szCs w:val="24"/>
          <w:highlight w:val="none"/>
        </w:rPr>
      </w:pPr>
    </w:p>
    <w:p w14:paraId="4571A52F">
      <w:pPr>
        <w:widowControl/>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br w:type="page" w:clear="all"/>
      </w:r>
    </w:p>
    <w:p w14:paraId="4CDB9F84">
      <w:pPr>
        <w:pStyle w:val="373"/>
        <w:rPr>
          <w:rFonts w:hint="eastAsia" w:ascii="宋体" w:hAnsi="宋体" w:eastAsia="宋体" w:cs="宋体"/>
          <w:color w:val="auto"/>
          <w:sz w:val="24"/>
          <w:szCs w:val="24"/>
          <w:highlight w:val="none"/>
        </w:rPr>
      </w:pPr>
      <w:r>
        <w:rPr>
          <w:rFonts w:hint="eastAsia" w:ascii="宋体" w:hAnsi="宋体" w:eastAsia="宋体" w:cs="宋体"/>
          <w:color w:val="auto"/>
          <w:highlight w:val="none"/>
        </w:rPr>
        <w:t>第五部分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评标方法与评标标准</w:t>
      </w:r>
    </w:p>
    <w:p w14:paraId="7ABFC1AB">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评标方法</w:t>
      </w:r>
    </w:p>
    <w:p w14:paraId="7706E7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1、本次招标评标采用为综合评分法，即在满足招标文件实质性要求前提下，按照招标文件中规定的评分标准和各项因素进行综合评审，以评标总得分最高的投标人作为中标候选人。</w:t>
      </w:r>
    </w:p>
    <w:p w14:paraId="4001D5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2、评标时，评标委员会各成员应当按照招标文件规定的评分标准独立对每个投标人的投标文件进行评价，并汇总每个投标人的得分。对评委的评分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除价格分外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进行统计汇总，直接算术平均，计算出每个投标人的得分，加上价格得分即为每个投标人的综合得分。</w:t>
      </w:r>
    </w:p>
    <w:p w14:paraId="5A963E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ABC057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如出现评审得分最高的投标人有两个或两个以上的，以投标报价较低者优先作为该标段中标候选人，如果投标报价也相同的，则由评标委员会组织以抽签方式确定中标候选人</w:t>
      </w:r>
      <w:r>
        <w:rPr>
          <w:rFonts w:hint="eastAsia" w:ascii="宋体" w:hAnsi="宋体" w:eastAsia="宋体" w:cs="宋体"/>
          <w:color w:val="auto"/>
          <w:sz w:val="24"/>
          <w:szCs w:val="24"/>
          <w:highlight w:val="none"/>
          <w:lang w:eastAsia="zh-CN"/>
        </w:rPr>
        <w:t>。</w:t>
      </w:r>
    </w:p>
    <w:p w14:paraId="73A7EAE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评分标准</w:t>
      </w:r>
    </w:p>
    <w:p w14:paraId="6CAAC2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（一）投标报价（</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分）</w:t>
      </w:r>
    </w:p>
    <w:p w14:paraId="327E5539">
      <w:pPr>
        <w:keepNext w:val="0"/>
        <w:keepLines w:val="0"/>
        <w:pageBreakBefore w:val="0"/>
        <w:widowControl/>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1、投标报价不超过采购预算价格的为有效投标报价。超出此范围的投标报价为无效投标报价。无效投标报价的投标文件不进行评审，也不得标；</w:t>
      </w:r>
    </w:p>
    <w:p w14:paraId="33982C99">
      <w:pPr>
        <w:keepNext w:val="0"/>
        <w:keepLines w:val="0"/>
        <w:pageBreakBefore w:val="0"/>
        <w:widowControl/>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2、价格分采用低价优先法计算，即满足招标文件要求且投标价格最低的投标报价为评标基准价，其价格分为满分。其他投标人的价格分统一按照下列公式计算（计算结果四舍五入保留两位小数）：</w:t>
      </w:r>
    </w:p>
    <w:p w14:paraId="6FF3A898">
      <w:pPr>
        <w:keepNext w:val="0"/>
        <w:keepLines w:val="0"/>
        <w:pageBreakBefore w:val="0"/>
        <w:widowControl/>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投标报价得分=（评标基准价/投标报价）*价格权值*100（本次招标价格权值为2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p>
    <w:p w14:paraId="6539DD51">
      <w:pPr>
        <w:keepNext w:val="0"/>
        <w:keepLines w:val="0"/>
        <w:pageBreakBefore w:val="0"/>
        <w:widowControl w:val="0"/>
        <w:kinsoku/>
        <w:wordWrap/>
        <w:overflowPunct/>
        <w:topLinePunct w:val="0"/>
        <w:autoSpaceDE/>
        <w:autoSpaceDN/>
        <w:bidi w:val="0"/>
        <w:adjustRightInd/>
        <w:snapToGrid/>
        <w:spacing w:line="360" w:lineRule="auto"/>
        <w:ind w:left="0" w:firstLine="422"/>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CCFA42D">
      <w:pPr>
        <w:keepNext w:val="0"/>
        <w:keepLines w:val="0"/>
        <w:pageBreakBefore w:val="0"/>
        <w:widowControl w:val="0"/>
        <w:kinsoku/>
        <w:wordWrap/>
        <w:overflowPunct/>
        <w:topLinePunct w:val="0"/>
        <w:autoSpaceDE/>
        <w:autoSpaceDN/>
        <w:bidi w:val="0"/>
        <w:adjustRightInd/>
        <w:snapToGrid/>
        <w:spacing w:line="360" w:lineRule="auto"/>
        <w:ind w:left="0" w:firstLine="422"/>
        <w:jc w:val="left"/>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（二）施工方案（</w:t>
      </w:r>
      <w:r>
        <w:rPr>
          <w:rFonts w:hint="eastAsia" w:ascii="宋体" w:hAnsi="宋体" w:eastAsia="宋体" w:cs="宋体"/>
          <w:b/>
          <w:bCs/>
          <w:color w:val="auto"/>
          <w:sz w:val="24"/>
          <w:szCs w:val="24"/>
          <w:highlight w:val="none"/>
          <w:lang w:val="en-US" w:eastAsia="zh-CN" w:bidi="ar-SA"/>
        </w:rPr>
        <w:t>52</w:t>
      </w:r>
      <w:r>
        <w:rPr>
          <w:rFonts w:hint="eastAsia" w:ascii="宋体" w:hAnsi="宋体" w:eastAsia="宋体" w:cs="宋体"/>
          <w:b/>
          <w:bCs/>
          <w:color w:val="auto"/>
          <w:sz w:val="24"/>
          <w:szCs w:val="24"/>
          <w:highlight w:val="none"/>
          <w:lang w:val="en-US" w:eastAsia="zh-CN" w:bidi="ar-SA"/>
        </w:rPr>
        <w:t>分）</w:t>
      </w:r>
    </w:p>
    <w:p w14:paraId="50F78C14">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提供质量保证措施方案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p>
    <w:p w14:paraId="31158241">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提供质量保证措施方案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内容须包括：①质量控制目标；②质量保证体系；③质量控制制度；④质量管理措施。</w:t>
      </w:r>
    </w:p>
    <w:p w14:paraId="56EF66C7">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方案内容针对本项目且符合本项目实际需求的，得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分，每缺少一项内容，或内容非专门针对本项目，不能满足本项目实际需求的，每一项扣</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4B9CD6AA">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、项目进度保证方案（12分）</w:t>
      </w:r>
    </w:p>
    <w:p w14:paraId="005A8D52">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提供项目</w:t>
      </w:r>
      <w:r>
        <w:rPr>
          <w:rFonts w:hint="eastAsia" w:ascii="宋体" w:hAnsi="宋体" w:eastAsia="宋体" w:cs="宋体"/>
          <w:color w:val="auto"/>
          <w:sz w:val="24"/>
          <w:szCs w:val="24"/>
          <w:highlight w:val="none"/>
          <w:lang w:val="en-US" w:eastAsia="zh-CN"/>
        </w:rPr>
        <w:t>进度</w:t>
      </w:r>
      <w:r>
        <w:rPr>
          <w:rFonts w:hint="eastAsia" w:ascii="宋体" w:hAnsi="宋体" w:eastAsia="宋体" w:cs="宋体"/>
          <w:color w:val="auto"/>
          <w:sz w:val="24"/>
          <w:szCs w:val="24"/>
          <w:highlight w:val="none"/>
        </w:rPr>
        <w:t>保证措施方案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内容须包括：①计划开竣工日期和安装进度网络图；②工期保证措施；③拟投入本项目主要安装机械设备；④资源配备计划和劳动力安排计划。 </w:t>
      </w:r>
    </w:p>
    <w:p w14:paraId="07F6606D">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方案内容针对本项目且符合本项目实际需求的，得</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分，每缺少一项内容，或内容非专门针对本项目，不能满足本项目实际需求的，每一项扣</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47A11BD">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rPr>
        <w:t>售后服务方案（12分）</w:t>
      </w:r>
    </w:p>
    <w:p w14:paraId="2A93CCB5">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提供售后服务方案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内容须包括：①培训计划；②服务响应机制；③设备故障应急处理措施；④售后服务人员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72604160">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方案内容针对本项目且符合本项目实际需求的，得</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分，每缺少一项内容，或内容非专门针对本项目，不能满足本项目实际需求的，每一项扣</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178DA8A1">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、安全管理措施及应急预案（12分）</w:t>
      </w:r>
    </w:p>
    <w:p w14:paraId="1EB4E0EB">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提供安全保证措施及安全应急预案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内容须包括：①安全管理制度；②安全保证措施；③安全施工措施；④应急预案。</w:t>
      </w:r>
    </w:p>
    <w:p w14:paraId="7B8612B7">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方案内容针对本项目且符合本项目实际需求的，得</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分，每缺少一项内容，或内容非专门针对本项目，不能满足本项目实际需求的，每一项扣</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6FE03B6C">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、对项目人员配备情况的评价（</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分）：</w:t>
      </w:r>
    </w:p>
    <w:p w14:paraId="459C0E0D">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消防技术负责人（除项目经理外）</w:t>
      </w: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一级注册消防工程师</w:t>
      </w:r>
      <w:r>
        <w:rPr>
          <w:rFonts w:hint="eastAsia" w:ascii="宋体" w:hAnsi="宋体" w:eastAsia="宋体" w:cs="宋体"/>
          <w:color w:val="auto"/>
          <w:sz w:val="24"/>
          <w:szCs w:val="24"/>
          <w:highlight w:val="none"/>
          <w:lang w:val="en-US" w:eastAsia="zh-CN"/>
        </w:rPr>
        <w:t>资格</w:t>
      </w:r>
      <w:r>
        <w:rPr>
          <w:rFonts w:hint="eastAsia" w:ascii="宋体" w:hAnsi="宋体" w:eastAsia="宋体" w:cs="宋体"/>
          <w:color w:val="auto"/>
          <w:sz w:val="24"/>
          <w:szCs w:val="24"/>
          <w:highlight w:val="none"/>
        </w:rPr>
        <w:t>证书的得4分。</w:t>
      </w:r>
    </w:p>
    <w:p w14:paraId="46E5A25E">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项目组成员中配备有安全员、质量员、施工员、材料员，须同时提供上述人员对应的职</w:t>
      </w:r>
      <w:r>
        <w:rPr>
          <w:rFonts w:hint="eastAsia" w:ascii="宋体" w:hAnsi="宋体" w:eastAsia="宋体" w:cs="宋体"/>
          <w:color w:val="auto"/>
          <w:sz w:val="24"/>
          <w:szCs w:val="24"/>
          <w:highlight w:val="none"/>
          <w:lang w:eastAsia="zh-CN"/>
        </w:rPr>
        <w:t>业资格证书，每有一类人员得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分，最高</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p>
    <w:p w14:paraId="34585F11">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注：上述（1）至（</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）项须同时提供上述人员相关证书及由供应商为上述人员缴纳的最近一个月的社保缴费证明</w:t>
      </w:r>
      <w:r>
        <w:rPr>
          <w:rFonts w:hint="eastAsia" w:ascii="宋体" w:hAnsi="宋体" w:eastAsia="宋体" w:cs="宋体"/>
          <w:color w:val="auto"/>
          <w:sz w:val="24"/>
          <w:szCs w:val="24"/>
          <w:highlight w:val="none"/>
          <w:lang w:val="en-US" w:eastAsia="zh-CN"/>
        </w:rPr>
        <w:t>文</w:t>
      </w:r>
      <w:r>
        <w:rPr>
          <w:rFonts w:hint="eastAsia" w:ascii="宋体" w:hAnsi="宋体" w:eastAsia="宋体" w:cs="宋体"/>
          <w:color w:val="auto"/>
          <w:sz w:val="24"/>
          <w:szCs w:val="24"/>
          <w:highlight w:val="none"/>
          <w:lang w:eastAsia="zh-CN"/>
        </w:rPr>
        <w:t>件，否则对应内容不得分。</w:t>
      </w:r>
    </w:p>
    <w:p w14:paraId="3EBD8260">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eastAsia="zh-CN"/>
        </w:rPr>
        <w:t>、对供应商综合情况的评价（</w:t>
      </w:r>
      <w:r>
        <w:rPr>
          <w:rFonts w:hint="eastAsia" w:ascii="宋体" w:hAnsi="宋体" w:eastAsia="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lang w:eastAsia="zh-CN"/>
        </w:rPr>
        <w:t>分）：</w:t>
      </w:r>
    </w:p>
    <w:p w14:paraId="2D670880">
      <w:pPr>
        <w:keepNext w:val="0"/>
        <w:keepLines w:val="0"/>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自20</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11月</w:t>
      </w:r>
      <w:r>
        <w:rPr>
          <w:rFonts w:hint="eastAsia" w:ascii="宋体" w:hAnsi="宋体" w:eastAsia="宋体" w:cs="宋体"/>
          <w:color w:val="auto"/>
          <w:sz w:val="24"/>
          <w:szCs w:val="24"/>
          <w:highlight w:val="none"/>
          <w:lang w:eastAsia="zh-CN"/>
        </w:rPr>
        <w:t>（以合同签订日期为准）以来承担</w:t>
      </w:r>
      <w:r>
        <w:rPr>
          <w:rFonts w:hint="eastAsia" w:ascii="宋体" w:hAnsi="宋体" w:eastAsia="宋体" w:cs="宋体"/>
          <w:color w:val="auto"/>
          <w:sz w:val="24"/>
          <w:szCs w:val="24"/>
          <w:highlight w:val="none"/>
          <w:lang w:val="en-US" w:eastAsia="zh-CN"/>
        </w:rPr>
        <w:t>过类似</w:t>
      </w:r>
      <w:r>
        <w:rPr>
          <w:rFonts w:hint="eastAsia" w:ascii="宋体" w:hAnsi="宋体" w:eastAsia="宋体" w:cs="宋体"/>
          <w:color w:val="auto"/>
          <w:sz w:val="24"/>
          <w:szCs w:val="24"/>
          <w:highlight w:val="none"/>
          <w:lang w:eastAsia="zh-CN"/>
        </w:rPr>
        <w:t>项目业绩，须</w:t>
      </w:r>
      <w:r>
        <w:rPr>
          <w:rFonts w:hint="eastAsia" w:ascii="宋体" w:hAnsi="宋体" w:eastAsia="宋体" w:cs="宋体"/>
          <w:color w:val="auto"/>
          <w:sz w:val="24"/>
          <w:szCs w:val="24"/>
          <w:highlight w:val="none"/>
          <w:lang w:val="en-US" w:eastAsia="zh-CN"/>
        </w:rPr>
        <w:t>上传</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highlight w:val="none"/>
          <w:lang w:val="en-US" w:eastAsia="zh-CN"/>
        </w:rPr>
        <w:t>证明文件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每提供一个得3</w:t>
      </w:r>
      <w:r>
        <w:rPr>
          <w:rFonts w:hint="eastAsia" w:ascii="宋体" w:hAnsi="宋体" w:eastAsia="宋体" w:cs="宋体"/>
          <w:color w:val="auto"/>
          <w:sz w:val="24"/>
          <w:szCs w:val="24"/>
          <w:highlight w:val="none"/>
          <w:lang w:eastAsia="zh-CN"/>
        </w:rPr>
        <w:t>分，最高</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分。</w:t>
      </w:r>
    </w:p>
    <w:p w14:paraId="728976B3">
      <w:pPr>
        <w:keepNext w:val="0"/>
        <w:keepLines w:val="0"/>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2、供应商具有检测单位出具的高压细水雾灭火系统应用于电动自行车或新能源汽车灭火相关实验报告，得5分</w:t>
      </w:r>
    </w:p>
    <w:p w14:paraId="364109A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注：1、报价要求、付款步骤、服务期限如有负偏离的不得中标。</w:t>
      </w:r>
    </w:p>
    <w:p w14:paraId="781B87B4">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2、针对评分标准中评分的每一条，投标人均应提供相关的电子资料并作出相应说明供评委评判，不提供相关资料的视为不具备该项得分的条件。</w:t>
      </w:r>
    </w:p>
    <w:p w14:paraId="53320E42">
      <w:pPr>
        <w:keepNext w:val="0"/>
        <w:keepLines w:val="0"/>
        <w:pageBreakBefore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3、所有要求提供的扫描件字迹须清晰可见，扫描不全或字迹不清晰的，视为未提供。</w:t>
      </w:r>
    </w:p>
    <w:p w14:paraId="4259DC35">
      <w:pPr>
        <w:keepNext w:val="0"/>
        <w:keepLines w:val="0"/>
        <w:pageBreakBefore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4、防止虚假应标，采购人保留调查的权利，并由此引发的一切调查与诉讼费用由投标人承担。</w:t>
      </w:r>
    </w:p>
    <w:p w14:paraId="0C61BC1E">
      <w:pPr>
        <w:keepNext w:val="0"/>
        <w:keepLines w:val="0"/>
        <w:pageBreakBefore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5、评标委员会可以书面方式要求投标人对投标文件中含义不明、对同类问题表述不一致或有明显文字及计算错误的内容作必要澄清、说明和补正。如投标人拒绝上述请求，则视为其投标无效。</w:t>
      </w:r>
    </w:p>
    <w:p w14:paraId="1FC6686A">
      <w:pPr>
        <w:pStyle w:val="811"/>
        <w:keepNext w:val="0"/>
        <w:keepLines w:val="0"/>
        <w:pageBreakBefore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z w:val="24"/>
          <w:szCs w:val="24"/>
          <w:highlight w:val="none"/>
        </w:rPr>
      </w:pPr>
    </w:p>
    <w:p w14:paraId="19AE63A4">
      <w:pPr>
        <w:pStyle w:val="373"/>
        <w:ind w:firstLine="0"/>
        <w:rPr>
          <w:rFonts w:hint="eastAsia" w:ascii="宋体" w:hAnsi="宋体" w:eastAsia="宋体" w:cs="宋体"/>
          <w:color w:val="auto"/>
          <w:highlight w:val="none"/>
        </w:rPr>
        <w:sectPr>
          <w:headerReference r:id="rId6" w:type="first"/>
          <w:footerReference r:id="rId9" w:type="first"/>
          <w:headerReference r:id="rId5" w:type="default"/>
          <w:footerReference r:id="rId7" w:type="default"/>
          <w:footerReference r:id="rId8" w:type="even"/>
          <w:pgSz w:w="11907" w:h="16839"/>
          <w:pgMar w:top="1440" w:right="1080" w:bottom="1440" w:left="1080" w:header="567" w:footer="794" w:gutter="0"/>
          <w:cols w:space="720" w:num="1"/>
          <w:titlePg/>
          <w:docGrid w:linePitch="360" w:charSpace="0"/>
        </w:sectPr>
      </w:pPr>
    </w:p>
    <w:p w14:paraId="01DB075A">
      <w:pPr>
        <w:pStyle w:val="373"/>
        <w:ind w:firstLine="0"/>
        <w:rPr>
          <w:rFonts w:hint="eastAsia" w:ascii="宋体" w:hAnsi="宋体" w:eastAsia="宋体" w:cs="宋体"/>
          <w:color w:val="auto"/>
          <w:highlight w:val="none"/>
        </w:rPr>
      </w:pPr>
    </w:p>
    <w:p w14:paraId="0121222C">
      <w:pPr>
        <w:pStyle w:val="373"/>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第六部分 </w:t>
      </w:r>
      <w:r>
        <w:rPr>
          <w:rFonts w:hint="eastAsia" w:ascii="宋体" w:hAnsi="宋体" w:eastAsia="宋体" w:cs="宋体"/>
          <w:bCs/>
          <w:color w:val="auto"/>
          <w:highlight w:val="none"/>
        </w:rPr>
        <w:t>合同主要条款</w:t>
      </w:r>
      <w:bookmarkEnd w:id="14"/>
      <w:bookmarkEnd w:id="15"/>
      <w:bookmarkEnd w:id="16"/>
      <w:bookmarkEnd w:id="17"/>
    </w:p>
    <w:p w14:paraId="1AC0252A">
      <w:pPr>
        <w:autoSpaceDE w:val="0"/>
        <w:autoSpaceDN w:val="0"/>
        <w:ind w:firstLine="200"/>
        <w:jc w:val="left"/>
        <w:rPr>
          <w:rFonts w:hint="eastAsia" w:ascii="宋体" w:hAnsi="宋体" w:eastAsia="宋体" w:cs="宋体"/>
          <w:b/>
          <w:bCs/>
          <w:color w:val="auto"/>
          <w:sz w:val="32"/>
          <w:szCs w:val="32"/>
          <w:highlight w:val="none"/>
          <w:u w:val="none"/>
          <w:lang w:val="en-US" w:eastAsia="zh-CN" w:bidi="ar-SA"/>
        </w:rPr>
      </w:pPr>
    </w:p>
    <w:p w14:paraId="7CA7823A">
      <w:pPr>
        <w:autoSpaceDE w:val="0"/>
        <w:autoSpaceDN w:val="0"/>
        <w:ind w:firstLine="200"/>
        <w:jc w:val="left"/>
        <w:rPr>
          <w:rFonts w:hint="eastAsia" w:ascii="宋体" w:hAnsi="宋体" w:eastAsia="宋体" w:cs="宋体"/>
          <w:b/>
          <w:bCs/>
          <w:color w:val="auto"/>
          <w:sz w:val="32"/>
          <w:szCs w:val="32"/>
          <w:highlight w:val="none"/>
          <w:u w:val="none"/>
          <w:lang w:val="en-US" w:eastAsia="zh-CN" w:bidi="ar-SA"/>
        </w:rPr>
      </w:pPr>
    </w:p>
    <w:p w14:paraId="05F3E8AE">
      <w:pPr>
        <w:autoSpaceDE w:val="0"/>
        <w:autoSpaceDN w:val="0"/>
        <w:ind w:firstLine="200"/>
        <w:jc w:val="left"/>
        <w:rPr>
          <w:rFonts w:hint="eastAsia" w:ascii="宋体" w:hAnsi="宋体" w:eastAsia="宋体" w:cs="宋体"/>
          <w:b/>
          <w:bCs/>
          <w:color w:val="auto"/>
          <w:sz w:val="32"/>
          <w:szCs w:val="32"/>
          <w:highlight w:val="none"/>
          <w:u w:val="none"/>
          <w:lang w:val="en-US" w:eastAsia="zh-CN" w:bidi="ar-SA"/>
        </w:rPr>
      </w:pPr>
    </w:p>
    <w:p w14:paraId="0C270FB2">
      <w:pPr>
        <w:autoSpaceDE w:val="0"/>
        <w:autoSpaceDN w:val="0"/>
        <w:ind w:firstLine="200"/>
        <w:jc w:val="left"/>
        <w:rPr>
          <w:rFonts w:hint="eastAsia" w:ascii="宋体" w:hAnsi="宋体" w:eastAsia="宋体" w:cs="宋体"/>
          <w:b/>
          <w:bCs/>
          <w:color w:val="auto"/>
          <w:sz w:val="32"/>
          <w:szCs w:val="32"/>
          <w:highlight w:val="none"/>
          <w:u w:val="none"/>
          <w:lang w:val="en-US" w:eastAsia="zh-CN" w:bidi="ar-SA"/>
        </w:rPr>
      </w:pPr>
    </w:p>
    <w:p w14:paraId="040268C3">
      <w:pPr>
        <w:autoSpaceDE w:val="0"/>
        <w:autoSpaceDN w:val="0"/>
        <w:ind w:firstLine="200"/>
        <w:jc w:val="left"/>
        <w:rPr>
          <w:rFonts w:hint="eastAsia" w:ascii="宋体" w:hAnsi="宋体" w:eastAsia="宋体" w:cs="宋体"/>
          <w:b/>
          <w:bCs/>
          <w:color w:val="auto"/>
          <w:sz w:val="32"/>
          <w:szCs w:val="32"/>
          <w:highlight w:val="none"/>
          <w:u w:val="none"/>
          <w:lang w:val="en-US" w:eastAsia="zh-CN" w:bidi="ar-SA"/>
        </w:rPr>
      </w:pPr>
    </w:p>
    <w:p w14:paraId="7825B12E">
      <w:pPr>
        <w:autoSpaceDE w:val="0"/>
        <w:autoSpaceDN w:val="0"/>
        <w:ind w:firstLine="200"/>
        <w:jc w:val="left"/>
        <w:rPr>
          <w:rFonts w:hint="eastAsia" w:ascii="宋体" w:hAnsi="宋体" w:eastAsia="宋体" w:cs="宋体"/>
          <w:b/>
          <w:bCs/>
          <w:color w:val="auto"/>
          <w:sz w:val="32"/>
          <w:szCs w:val="32"/>
          <w:highlight w:val="none"/>
          <w:u w:val="none"/>
          <w:lang w:val="en-US" w:eastAsia="zh-CN" w:bidi="ar-SA"/>
        </w:rPr>
      </w:pPr>
    </w:p>
    <w:p w14:paraId="5BDF478E">
      <w:pPr>
        <w:autoSpaceDE w:val="0"/>
        <w:autoSpaceDN w:val="0"/>
        <w:ind w:firstLine="200"/>
        <w:jc w:val="left"/>
        <w:rPr>
          <w:rFonts w:hint="eastAsia" w:ascii="宋体" w:hAnsi="宋体" w:eastAsia="宋体" w:cs="宋体"/>
          <w:b/>
          <w:bCs/>
          <w:color w:val="auto"/>
          <w:sz w:val="32"/>
          <w:szCs w:val="32"/>
          <w:highlight w:val="none"/>
          <w:u w:val="none"/>
          <w:lang w:val="en-US" w:eastAsia="zh-CN" w:bidi="ar-SA"/>
        </w:rPr>
      </w:pPr>
    </w:p>
    <w:p w14:paraId="6B46D06E">
      <w:pPr>
        <w:autoSpaceDE w:val="0"/>
        <w:autoSpaceDN w:val="0"/>
        <w:ind w:firstLine="200"/>
        <w:jc w:val="left"/>
        <w:rPr>
          <w:rFonts w:hint="eastAsia" w:ascii="宋体" w:hAnsi="宋体" w:eastAsia="宋体" w:cs="宋体"/>
          <w:b/>
          <w:bCs/>
          <w:color w:val="auto"/>
          <w:sz w:val="32"/>
          <w:szCs w:val="32"/>
          <w:highlight w:val="none"/>
          <w:u w:val="none"/>
          <w:lang w:val="en-US" w:eastAsia="zh-CN" w:bidi="ar-SA"/>
        </w:rPr>
      </w:pPr>
    </w:p>
    <w:p w14:paraId="74C19F07">
      <w:pPr>
        <w:keepNext w:val="0"/>
        <w:keepLines w:val="0"/>
        <w:pageBreakBefore w:val="0"/>
        <w:widowControl/>
        <w:kinsoku/>
        <w:wordWrap/>
        <w:overflowPunct/>
        <w:topLinePunct w:val="0"/>
        <w:autoSpaceDE w:val="0"/>
        <w:autoSpaceDN w:val="0"/>
        <w:bidi w:val="0"/>
        <w:adjustRightInd/>
        <w:snapToGrid/>
        <w:spacing w:line="480" w:lineRule="auto"/>
        <w:ind w:firstLine="964" w:firstLineChars="300"/>
        <w:jc w:val="left"/>
        <w:textAlignment w:val="auto"/>
        <w:rPr>
          <w:rFonts w:hint="eastAsia" w:ascii="宋体" w:hAnsi="宋体" w:eastAsia="宋体" w:cs="宋体"/>
          <w:b/>
          <w:bCs/>
          <w:color w:val="auto"/>
          <w:sz w:val="32"/>
          <w:szCs w:val="32"/>
          <w:highlight w:val="none"/>
          <w:u w:val="single"/>
          <w:lang w:val="en-US" w:eastAsia="zh-CN" w:bidi="ar-SA"/>
        </w:rPr>
      </w:pPr>
      <w:r>
        <w:rPr>
          <w:rFonts w:hint="eastAsia" w:ascii="宋体" w:hAnsi="宋体" w:eastAsia="宋体" w:cs="宋体"/>
          <w:b/>
          <w:bCs/>
          <w:color w:val="auto"/>
          <w:sz w:val="32"/>
          <w:szCs w:val="32"/>
          <w:highlight w:val="none"/>
          <w:u w:val="none"/>
          <w:lang w:val="en-US" w:eastAsia="zh-CN" w:bidi="ar-SA"/>
        </w:rPr>
        <w:t>甲方（买方）：</w:t>
      </w:r>
      <w:r>
        <w:rPr>
          <w:rFonts w:hint="eastAsia" w:ascii="宋体" w:hAnsi="宋体" w:eastAsia="宋体" w:cs="宋体"/>
          <w:b/>
          <w:bCs/>
          <w:color w:val="auto"/>
          <w:sz w:val="32"/>
          <w:szCs w:val="32"/>
          <w:highlight w:val="none"/>
          <w:u w:val="single"/>
          <w:lang w:val="en-US" w:eastAsia="zh-CN" w:bidi="ar-SA"/>
        </w:rPr>
        <w:t xml:space="preserve">           </w:t>
      </w:r>
    </w:p>
    <w:p w14:paraId="0DA9556A">
      <w:pPr>
        <w:keepNext w:val="0"/>
        <w:keepLines w:val="0"/>
        <w:pageBreakBefore w:val="0"/>
        <w:widowControl/>
        <w:kinsoku/>
        <w:wordWrap/>
        <w:overflowPunct/>
        <w:topLinePunct w:val="0"/>
        <w:autoSpaceDE w:val="0"/>
        <w:autoSpaceDN w:val="0"/>
        <w:bidi w:val="0"/>
        <w:adjustRightInd/>
        <w:snapToGrid/>
        <w:spacing w:line="480" w:lineRule="auto"/>
        <w:ind w:firstLine="964" w:firstLineChars="300"/>
        <w:jc w:val="left"/>
        <w:textAlignment w:val="auto"/>
        <w:rPr>
          <w:rFonts w:hint="eastAsia" w:ascii="宋体" w:hAnsi="宋体" w:eastAsia="宋体" w:cs="宋体"/>
          <w:b/>
          <w:bCs/>
          <w:color w:val="auto"/>
          <w:sz w:val="32"/>
          <w:szCs w:val="32"/>
          <w:highlight w:val="none"/>
          <w:u w:val="none"/>
          <w:lang w:val="en-US" w:eastAsia="zh-CN" w:bidi="ar-SA"/>
        </w:rPr>
      </w:pPr>
      <w:r>
        <w:rPr>
          <w:rFonts w:hint="eastAsia" w:ascii="宋体" w:hAnsi="宋体" w:eastAsia="宋体" w:cs="宋体"/>
          <w:b/>
          <w:bCs/>
          <w:color w:val="auto"/>
          <w:sz w:val="32"/>
          <w:szCs w:val="32"/>
          <w:highlight w:val="none"/>
          <w:u w:val="none"/>
          <w:lang w:val="en-US" w:eastAsia="zh-CN" w:bidi="ar-SA"/>
        </w:rPr>
        <w:t xml:space="preserve">乙方（卖方）：             </w:t>
      </w:r>
    </w:p>
    <w:p w14:paraId="68204D64">
      <w:pPr>
        <w:keepNext w:val="0"/>
        <w:keepLines w:val="0"/>
        <w:pageBreakBefore w:val="0"/>
        <w:widowControl/>
        <w:kinsoku/>
        <w:wordWrap/>
        <w:overflowPunct/>
        <w:topLinePunct w:val="0"/>
        <w:autoSpaceDE w:val="0"/>
        <w:autoSpaceDN w:val="0"/>
        <w:bidi w:val="0"/>
        <w:adjustRightInd/>
        <w:snapToGrid/>
        <w:spacing w:line="480" w:lineRule="auto"/>
        <w:ind w:firstLine="964" w:firstLineChars="300"/>
        <w:jc w:val="left"/>
        <w:textAlignment w:val="auto"/>
        <w:rPr>
          <w:rFonts w:hint="eastAsia" w:ascii="宋体" w:hAnsi="宋体" w:eastAsia="宋体" w:cs="宋体"/>
          <w:color w:val="auto"/>
          <w:sz w:val="21"/>
          <w:szCs w:val="22"/>
          <w:highlight w:val="none"/>
          <w:lang w:val="en-US" w:eastAsia="zh-CN" w:bidi="ar-SA"/>
        </w:rPr>
      </w:pPr>
      <w:r>
        <w:rPr>
          <w:rFonts w:hint="eastAsia" w:ascii="宋体" w:hAnsi="宋体" w:eastAsia="宋体" w:cs="宋体"/>
          <w:b/>
          <w:bCs/>
          <w:color w:val="auto"/>
          <w:sz w:val="32"/>
          <w:szCs w:val="32"/>
          <w:highlight w:val="none"/>
          <w:u w:val="none"/>
          <w:lang w:val="en-US" w:eastAsia="zh-CN" w:bidi="ar-SA"/>
        </w:rPr>
        <w:t>签订时间：</w:t>
      </w:r>
      <w:r>
        <w:rPr>
          <w:rFonts w:hint="eastAsia" w:ascii="宋体" w:hAnsi="宋体" w:eastAsia="宋体" w:cs="宋体"/>
          <w:b/>
          <w:bCs/>
          <w:color w:val="auto"/>
          <w:sz w:val="48"/>
          <w:szCs w:val="48"/>
          <w:highlight w:val="none"/>
          <w:u w:val="single"/>
          <w:lang w:val="en-US" w:eastAsia="zh-CN" w:bidi="ar-SA"/>
        </w:rPr>
        <w:t xml:space="preserve">    </w:t>
      </w:r>
      <w:r>
        <w:rPr>
          <w:rFonts w:hint="eastAsia" w:ascii="宋体" w:hAnsi="宋体" w:eastAsia="宋体" w:cs="宋体"/>
          <w:b/>
          <w:bCs/>
          <w:color w:val="auto"/>
          <w:sz w:val="48"/>
          <w:szCs w:val="48"/>
          <w:highlight w:val="none"/>
          <w:u w:val="none"/>
          <w:lang w:val="en-US" w:eastAsia="zh-CN" w:bidi="ar-SA"/>
        </w:rPr>
        <w:t xml:space="preserve">   </w:t>
      </w:r>
      <w:r>
        <w:rPr>
          <w:rFonts w:hint="eastAsia" w:ascii="宋体" w:hAnsi="宋体" w:eastAsia="宋体" w:cs="宋体"/>
          <w:color w:val="auto"/>
          <w:sz w:val="21"/>
          <w:szCs w:val="22"/>
          <w:highlight w:val="none"/>
          <w:lang w:val="en-US" w:eastAsia="zh-CN" w:bidi="ar-SA"/>
        </w:rPr>
        <w:br w:type="page"/>
      </w:r>
    </w:p>
    <w:p w14:paraId="4A6D4B1F">
      <w:pPr>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                       </w:t>
      </w:r>
    </w:p>
    <w:p w14:paraId="5448C186">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项目编号：</w:t>
      </w:r>
    </w:p>
    <w:p w14:paraId="65F1AA42">
      <w:pPr>
        <w:keepNext w:val="0"/>
        <w:keepLines w:val="0"/>
        <w:pageBreakBefore w:val="0"/>
        <w:widowControl w:val="0"/>
        <w:spacing w:line="360" w:lineRule="auto"/>
        <w:jc w:val="left"/>
        <w:rPr>
          <w:rFonts w:hint="eastAsia" w:ascii="宋体" w:hAnsi="宋体" w:eastAsia="宋体" w:cs="宋体"/>
          <w:b/>
          <w:color w:val="auto"/>
          <w:sz w:val="24"/>
          <w:szCs w:val="24"/>
          <w:highlight w:val="none"/>
        </w:rPr>
      </w:pPr>
    </w:p>
    <w:p w14:paraId="789EDD1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甲方（需方）：</w:t>
      </w:r>
    </w:p>
    <w:p w14:paraId="2BAACEF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p w14:paraId="364B08C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p w14:paraId="1164640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14:paraId="51A847C7">
      <w:pPr>
        <w:spacing w:line="360" w:lineRule="auto"/>
        <w:rPr>
          <w:rFonts w:hint="eastAsia" w:ascii="宋体" w:hAnsi="宋体" w:eastAsia="宋体" w:cs="宋体"/>
          <w:color w:val="auto"/>
          <w:sz w:val="24"/>
          <w:szCs w:val="24"/>
          <w:highlight w:val="none"/>
        </w:rPr>
      </w:pPr>
    </w:p>
    <w:p w14:paraId="466321C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乙方（供方）：</w:t>
      </w:r>
    </w:p>
    <w:p w14:paraId="235777E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w:t>
      </w:r>
    </w:p>
    <w:p w14:paraId="6F86879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p w14:paraId="6F69B0A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14:paraId="69EBFF76">
      <w:pPr>
        <w:spacing w:line="360" w:lineRule="auto"/>
        <w:ind w:firstLine="480"/>
        <w:contextualSpacing/>
        <w:jc w:val="left"/>
        <w:rPr>
          <w:rFonts w:hint="eastAsia" w:ascii="宋体" w:hAnsi="宋体" w:eastAsia="宋体" w:cs="宋体"/>
          <w:color w:val="auto"/>
          <w:sz w:val="24"/>
          <w:szCs w:val="24"/>
          <w:highlight w:val="none"/>
          <w:lang w:bidi="ar"/>
        </w:rPr>
      </w:pPr>
    </w:p>
    <w:p w14:paraId="35D00909">
      <w:pPr>
        <w:spacing w:line="360" w:lineRule="auto"/>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根据</w:t>
      </w:r>
      <w:r>
        <w:rPr>
          <w:rFonts w:hint="eastAsia" w:ascii="宋体" w:hAnsi="宋体" w:eastAsia="宋体" w:cs="宋体"/>
          <w:color w:val="auto"/>
          <w:sz w:val="24"/>
          <w:szCs w:val="24"/>
          <w:highlight w:val="none"/>
          <w:lang w:eastAsia="zh-CN" w:bidi="ar"/>
        </w:rPr>
        <w:t>项目编号</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号响应采购文件及成交通知书，甲乙双方根据《中华人民共和国民法典》及有关法律、法规的规定，遵循平等自愿、公平和诚实信用的原则，就</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施工及有关事项协商一致，共同达成如下协议：</w:t>
      </w:r>
    </w:p>
    <w:p w14:paraId="18A2D7D6">
      <w:pPr>
        <w:spacing w:line="360" w:lineRule="auto"/>
        <w:ind w:firstLine="482"/>
        <w:contextualSpacing/>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1、工程概况：</w:t>
      </w:r>
    </w:p>
    <w:p w14:paraId="7689F260">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1.1工程名称：</w:t>
      </w:r>
    </w:p>
    <w:p w14:paraId="03958107">
      <w:pPr>
        <w:spacing w:line="360" w:lineRule="auto"/>
        <w:ind w:firstLine="480"/>
        <w:contextualSpacing/>
        <w:jc w:val="left"/>
        <w:rPr>
          <w:rFonts w:hint="eastAsia" w:ascii="宋体" w:hAnsi="宋体" w:eastAsia="宋体" w:cs="宋体"/>
          <w:bCs/>
          <w:color w:val="auto"/>
          <w:sz w:val="24"/>
          <w:szCs w:val="24"/>
          <w:highlight w:val="none"/>
          <w:u w:val="single"/>
          <w:lang w:bidi="ar"/>
        </w:rPr>
      </w:pPr>
      <w:r>
        <w:rPr>
          <w:rFonts w:hint="eastAsia" w:ascii="宋体" w:hAnsi="宋体" w:eastAsia="宋体" w:cs="宋体"/>
          <w:bCs/>
          <w:color w:val="auto"/>
          <w:sz w:val="24"/>
          <w:szCs w:val="24"/>
          <w:highlight w:val="none"/>
          <w:lang w:bidi="ar"/>
        </w:rPr>
        <w:t>1.2工程地点：</w:t>
      </w:r>
    </w:p>
    <w:p w14:paraId="2555F57C">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1.3工程内容：</w:t>
      </w:r>
    </w:p>
    <w:p w14:paraId="3720E263">
      <w:pPr>
        <w:spacing w:line="360" w:lineRule="auto"/>
        <w:ind w:firstLine="480"/>
        <w:contextualSpacing/>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1.4工程承包范围：</w:t>
      </w:r>
    </w:p>
    <w:p w14:paraId="01B23464">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1.5承包方式：</w:t>
      </w:r>
    </w:p>
    <w:p w14:paraId="42E2C7F1">
      <w:pPr>
        <w:spacing w:line="360" w:lineRule="auto"/>
        <w:ind w:firstLine="480"/>
        <w:contextualSpacing/>
        <w:jc w:val="left"/>
        <w:rPr>
          <w:rFonts w:hint="eastAsia" w:ascii="宋体" w:hAnsi="宋体" w:eastAsia="宋体" w:cs="宋体"/>
          <w:b/>
          <w:color w:val="auto"/>
          <w:sz w:val="24"/>
          <w:szCs w:val="24"/>
          <w:highlight w:val="none"/>
          <w:lang w:bidi="ar"/>
        </w:rPr>
      </w:pPr>
      <w:r>
        <w:rPr>
          <w:rFonts w:hint="eastAsia" w:ascii="宋体" w:hAnsi="宋体" w:eastAsia="宋体" w:cs="宋体"/>
          <w:color w:val="auto"/>
          <w:sz w:val="24"/>
          <w:szCs w:val="24"/>
          <w:highlight w:val="none"/>
          <w:lang w:bidi="ar"/>
        </w:rPr>
        <w:t>1.6工程报价方式：</w:t>
      </w:r>
    </w:p>
    <w:p w14:paraId="23CCD192">
      <w:pPr>
        <w:spacing w:line="360" w:lineRule="auto"/>
        <w:ind w:firstLine="482"/>
        <w:contextualSpacing/>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2、甲乙双方的权利义务：</w:t>
      </w:r>
    </w:p>
    <w:p w14:paraId="0D869391">
      <w:pPr>
        <w:spacing w:line="360" w:lineRule="auto"/>
        <w:ind w:firstLine="480"/>
        <w:contextualSpacing/>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2.1施工过程中及保修期内，甲方有权对工程质量、施工进度等进行监督、检查，工程质量不符合合同要求的，无论是否实际移交，甲方均有权要求乙方返工或修复。甲方指派</w:t>
      </w:r>
    </w:p>
    <w:p w14:paraId="062B3BDB">
      <w:pPr>
        <w:spacing w:line="360" w:lineRule="auto"/>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为甲方驻工地代表，负责本合同的履行，对工程质量、进度进行监督检查，办理验收、变更、登记手续和其他事宜。</w:t>
      </w:r>
    </w:p>
    <w:p w14:paraId="77EC94FB">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2.2乙方应严格按照《工程量清单》及工程设计图纸等约定的工程项目明细进行施工。未经甲方书面同意，乙方不得擅自变更工程项目。</w:t>
      </w:r>
    </w:p>
    <w:p w14:paraId="3C6594C8">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2.3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p>
    <w:p w14:paraId="2D20F074">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2.4乙方必须持续拥有实施本工程所应具备的资质。参加施工的人员必须经专业培训，持证上岗。</w:t>
      </w:r>
    </w:p>
    <w:p w14:paraId="3B43332A">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2.5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p>
    <w:p w14:paraId="74785531">
      <w:pPr>
        <w:spacing w:line="360" w:lineRule="auto"/>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2.6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p>
    <w:p w14:paraId="4036A89E">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2.7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p>
    <w:p w14:paraId="2EDCE7D4">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2.8工程竣工未移交甲方之前，乙方负责对现场的一切设施和工程成品进行保护。</w:t>
      </w:r>
    </w:p>
    <w:p w14:paraId="683F7FDC">
      <w:pPr>
        <w:spacing w:line="360" w:lineRule="auto"/>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2.9乙方指派</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（证书编号：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lang w:bidi="ar"/>
        </w:rPr>
        <w:t>）为项目经理，负责合同履行，按要求组织施工，保质、保量、按期完成施工任务，解决由乙方负责的各项事宜。</w:t>
      </w:r>
    </w:p>
    <w:p w14:paraId="2ECF5A36">
      <w:pPr>
        <w:spacing w:line="360" w:lineRule="auto"/>
        <w:ind w:firstLine="482"/>
        <w:contextualSpacing/>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3、关于工期的约定：</w:t>
      </w:r>
    </w:p>
    <w:p w14:paraId="432E85F7">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3.1本工程开工日期：</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年</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月</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日，竣工日期：</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年</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月</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日，每延后一天，由乙方支付违约金</w:t>
      </w:r>
      <w:r>
        <w:rPr>
          <w:rFonts w:hint="eastAsia" w:ascii="宋体" w:hAnsi="宋体" w:eastAsia="宋体" w:cs="宋体"/>
          <w:bCs/>
          <w:color w:val="auto"/>
          <w:sz w:val="24"/>
          <w:szCs w:val="24"/>
          <w:highlight w:val="none"/>
          <w:lang w:val="en-US" w:eastAsia="zh-CN" w:bidi="ar"/>
        </w:rPr>
        <w:t>3</w:t>
      </w:r>
      <w:r>
        <w:rPr>
          <w:rFonts w:hint="eastAsia" w:ascii="宋体" w:hAnsi="宋体" w:eastAsia="宋体" w:cs="宋体"/>
          <w:bCs/>
          <w:color w:val="auto"/>
          <w:sz w:val="24"/>
          <w:szCs w:val="24"/>
          <w:highlight w:val="none"/>
          <w:lang w:bidi="ar"/>
        </w:rPr>
        <w:t>000元，由甲方在支付工程款时扣除。</w:t>
      </w:r>
    </w:p>
    <w:p w14:paraId="169AD1AF">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3.2甲方要求比合同约定的工期提前竣工时，乙方应尊重甲方的要求并及时调整施工方案和进度，配合甲方工作的开展。</w:t>
      </w:r>
    </w:p>
    <w:p w14:paraId="2CA8A3C3">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3.3因乙方责任，不能按期开工或中途无故停工，影响工期的，工期不顺延且应承担相应违约责任。但因设计变更或非乙方原因造成的停电、停水、停气及不可抗力因素影响，导致停工8小时以上(一周内累计计算)，工期相应顺延。</w:t>
      </w:r>
    </w:p>
    <w:p w14:paraId="3F8F17CA">
      <w:pPr>
        <w:spacing w:line="360" w:lineRule="auto"/>
        <w:ind w:firstLine="482"/>
        <w:contextualSpacing/>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4、设计、变更：</w:t>
      </w:r>
    </w:p>
    <w:p w14:paraId="0330B391">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4.1负责设计的一方应于开工7日前提供满足施工需要的设计图纸及技术文件送对方当事人审批，经对方当事人审批通过的设计图纸及技术资料作为本合同附件。</w:t>
      </w:r>
    </w:p>
    <w:p w14:paraId="630C6B3D">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4.2甲方要求变更设计时，应在该分部或分项工程施工3日前通知乙方。乙方应立即停止对涉及部分的施工及准备活动。如该工程已经完工，因设计变更造成乙方返工的损失，由甲方承担。</w:t>
      </w:r>
    </w:p>
    <w:p w14:paraId="3BDE92B7">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4.3设计变更应由甲方代表办理洽商确认手续，乙方应变更施工进度计划，调整工程价款（如涉及），送甲方批准。</w:t>
      </w:r>
    </w:p>
    <w:p w14:paraId="7B15BC11">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4.4涉及设计变更的，设计图纸提供方应向对方提供变更设计图纸及材料样品或者明确的说明，用作计价及施工依据。</w:t>
      </w:r>
    </w:p>
    <w:p w14:paraId="2A65F8A9">
      <w:pPr>
        <w:spacing w:line="360" w:lineRule="auto"/>
        <w:ind w:firstLine="482"/>
        <w:contextualSpacing/>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5、材料供应：</w:t>
      </w:r>
    </w:p>
    <w:p w14:paraId="4233FFFE">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5.1本工程为包工包料合同。施工所需的各项设施设备、主料、辅料等均由乙方自行采购和提供。</w:t>
      </w:r>
    </w:p>
    <w:p w14:paraId="4AE275EC">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5.2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p>
    <w:p w14:paraId="0EB95398">
      <w:pPr>
        <w:spacing w:line="360" w:lineRule="auto"/>
        <w:ind w:firstLine="482"/>
        <w:contextualSpacing/>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6、关于工程质量及验收等的约定：</w:t>
      </w:r>
    </w:p>
    <w:p w14:paraId="55074555">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6.1本工程以施工图纸、施工工艺说明、设计变更和《建筑装饰装修工程施工质量验收规范》(GB50210-2</w:t>
      </w:r>
      <w:r>
        <w:rPr>
          <w:rFonts w:hint="eastAsia" w:ascii="宋体" w:hAnsi="宋体" w:eastAsia="宋体" w:cs="宋体"/>
          <w:bCs/>
          <w:color w:val="auto"/>
          <w:sz w:val="24"/>
          <w:szCs w:val="24"/>
          <w:highlight w:val="none"/>
          <w:lang w:eastAsia="zh-CN" w:bidi="ar"/>
        </w:rPr>
        <w:t>JSZC-320585-FYWL-C2025-0023</w:t>
      </w:r>
      <w:r>
        <w:rPr>
          <w:rFonts w:hint="eastAsia" w:ascii="宋体" w:hAnsi="宋体" w:eastAsia="宋体" w:cs="宋体"/>
          <w:bCs/>
          <w:color w:val="auto"/>
          <w:sz w:val="24"/>
          <w:szCs w:val="24"/>
          <w:highlight w:val="none"/>
          <w:lang w:bidi="ar"/>
        </w:rPr>
        <w:t>)、《建筑工程施工质量验收统一标准》(GB50300-2013)等施工及验收规范标准为质量评定验收标准。</w:t>
      </w:r>
    </w:p>
    <w:p w14:paraId="11D3B662">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6.2本工程质量应达到国家质量评定合格标准。</w:t>
      </w:r>
    </w:p>
    <w:p w14:paraId="6DE91AF5">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6.3甲、乙双方应及时办理隐蔽工程和中间工程的检查与验收手续。隐蔽工程和中间工程未经甲方验收通过的，乙方不得擅自进入下一施工阶段。</w:t>
      </w:r>
    </w:p>
    <w:p w14:paraId="13035FDE">
      <w:pPr>
        <w:spacing w:line="360" w:lineRule="auto"/>
        <w:ind w:firstLine="480"/>
        <w:contextualSpacing/>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6.4工程竣工后具备竣工验收条件的，乙方应按国家竣工验收的有关规定通知甲方验收，甲方自接到通知后10日内组织验收，经验收合格后办理移交手续。在任何情况下，乙方不得以工程结算尚未完成等理由拒绝移交工程，否则，按照本合同第8.2条约定承担违约责任。</w:t>
      </w:r>
    </w:p>
    <w:p w14:paraId="2D23BE30">
      <w:pPr>
        <w:spacing w:line="360" w:lineRule="auto"/>
        <w:ind w:firstLine="480"/>
        <w:contextualSpacing/>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6.5乙方须为本项目提供每周5个工作日×12小时免费服务热线，无条件响应甲方在该项目上的时间安排，并提供</w:t>
      </w:r>
      <w:r>
        <w:rPr>
          <w:rFonts w:hint="eastAsia" w:ascii="宋体" w:hAnsi="宋体" w:eastAsia="宋体" w:cs="宋体"/>
          <w:bCs/>
          <w:color w:val="auto"/>
          <w:sz w:val="24"/>
          <w:szCs w:val="24"/>
          <w:highlight w:val="none"/>
          <w:lang w:val="en-US" w:eastAsia="zh-CN" w:bidi="ar"/>
        </w:rPr>
        <w:t>24</w:t>
      </w:r>
      <w:r>
        <w:rPr>
          <w:rFonts w:hint="eastAsia" w:ascii="宋体" w:hAnsi="宋体" w:eastAsia="宋体" w:cs="宋体"/>
          <w:bCs/>
          <w:color w:val="auto"/>
          <w:sz w:val="24"/>
          <w:szCs w:val="24"/>
          <w:highlight w:val="none"/>
          <w:lang w:bidi="ar"/>
        </w:rPr>
        <w:t>个月</w:t>
      </w:r>
      <w:r>
        <w:rPr>
          <w:rFonts w:hint="eastAsia" w:ascii="宋体" w:hAnsi="宋体" w:eastAsia="宋体" w:cs="宋体"/>
          <w:bCs/>
          <w:color w:val="auto"/>
          <w:sz w:val="24"/>
          <w:szCs w:val="24"/>
          <w:highlight w:val="none"/>
          <w:lang w:bidi="ar"/>
        </w:rPr>
        <w:t>的免费质保期。</w:t>
      </w:r>
    </w:p>
    <w:p w14:paraId="1DB2407F">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6.6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p>
    <w:p w14:paraId="6AA3A808">
      <w:pPr>
        <w:spacing w:line="360" w:lineRule="auto"/>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6.7工程施工期间涉及安全由乙方全部负责，涉及安全所产生的相关费用一律由乙方承担；</w:t>
      </w:r>
    </w:p>
    <w:p w14:paraId="4014D694">
      <w:pPr>
        <w:spacing w:line="360" w:lineRule="auto"/>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6.8质量必须达到合格，凡因施工单位责任，经验收达不到合格要求，必须返工到合格并承担因返工引起的一切经济损失。</w:t>
      </w:r>
    </w:p>
    <w:p w14:paraId="621B39BF">
      <w:pPr>
        <w:spacing w:line="360" w:lineRule="auto"/>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6.9承包人应当办理有关施工现场交通、环卫、施工噪声等管理手续，若发生费用由承包人负责。</w:t>
      </w:r>
    </w:p>
    <w:p w14:paraId="4970D557">
      <w:pPr>
        <w:spacing w:line="360" w:lineRule="auto"/>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6.10工程未交付之前，承包人应自始至终对成品进行保护和防止丢失。</w:t>
      </w:r>
    </w:p>
    <w:p w14:paraId="551752E1">
      <w:pPr>
        <w:spacing w:line="360" w:lineRule="auto"/>
        <w:ind w:firstLine="46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6.11施工人员需服从采购人安全管理。</w:t>
      </w:r>
    </w:p>
    <w:p w14:paraId="4C1F389F">
      <w:pPr>
        <w:spacing w:line="360" w:lineRule="auto"/>
        <w:ind w:firstLine="482"/>
        <w:contextualSpacing/>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7、关于工程价款及结算的约定：</w:t>
      </w:r>
    </w:p>
    <w:p w14:paraId="297FEA98">
      <w:pPr>
        <w:spacing w:line="360" w:lineRule="auto"/>
        <w:ind w:firstLine="480"/>
        <w:contextualSpacing/>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7.1本工程合同金额为</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val="en-US" w:eastAsia="zh-CN" w:bidi="ar"/>
        </w:rPr>
        <w:t>元</w:t>
      </w:r>
      <w:r>
        <w:rPr>
          <w:rFonts w:hint="eastAsia" w:ascii="宋体" w:hAnsi="宋体" w:eastAsia="宋体" w:cs="宋体"/>
          <w:b/>
          <w:color w:val="auto"/>
          <w:sz w:val="24"/>
          <w:szCs w:val="24"/>
          <w:highlight w:val="none"/>
          <w:u w:val="single"/>
          <w:lang w:bidi="ar"/>
        </w:rPr>
        <w:t>整（人民币</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元）</w:t>
      </w:r>
      <w:r>
        <w:rPr>
          <w:rFonts w:hint="eastAsia" w:ascii="宋体" w:hAnsi="宋体" w:eastAsia="宋体" w:cs="宋体"/>
          <w:bCs/>
          <w:color w:val="auto"/>
          <w:sz w:val="24"/>
          <w:szCs w:val="24"/>
          <w:highlight w:val="none"/>
          <w:lang w:bidi="ar"/>
        </w:rPr>
        <w:t>。</w:t>
      </w:r>
      <w:r>
        <w:rPr>
          <w:rFonts w:hint="eastAsia" w:ascii="宋体" w:hAnsi="宋体" w:eastAsia="宋体" w:cs="宋体"/>
          <w:color w:val="auto"/>
          <w:sz w:val="24"/>
          <w:szCs w:val="24"/>
          <w:highlight w:val="none"/>
          <w:lang w:bidi="ar"/>
        </w:rPr>
        <w:t>包括了施工图纸及工程量清单范围内为实施和完成合同工程所需的劳务、材料、机械、交通、安全措施、质检（自检）、安装、缺陷修复、现场办公生活、管理、保险、税费、利润等费用。</w:t>
      </w:r>
    </w:p>
    <w:p w14:paraId="68DBA0DC">
      <w:pPr>
        <w:spacing w:line="360" w:lineRule="auto"/>
        <w:ind w:firstLine="480"/>
        <w:contextualSpacing/>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7.2乙方应在工程竣工验收合格后1</w:t>
      </w:r>
      <w:r>
        <w:rPr>
          <w:rFonts w:hint="eastAsia" w:ascii="宋体" w:hAnsi="宋体" w:eastAsia="宋体" w:cs="宋体"/>
          <w:bCs/>
          <w:color w:val="auto"/>
          <w:sz w:val="24"/>
          <w:szCs w:val="24"/>
          <w:highlight w:val="none"/>
          <w:lang w:bidi="ar"/>
        </w:rPr>
        <w:t>5</w:t>
      </w:r>
      <w:r>
        <w:rPr>
          <w:rFonts w:hint="eastAsia" w:ascii="宋体" w:hAnsi="宋体" w:eastAsia="宋体" w:cs="宋体"/>
          <w:bCs/>
          <w:color w:val="auto"/>
          <w:sz w:val="24"/>
          <w:szCs w:val="24"/>
          <w:highlight w:val="none"/>
          <w:lang w:bidi="ar"/>
        </w:rPr>
        <w:t>天内按甲方要求提交完整的竣工结算申请资料。</w:t>
      </w:r>
    </w:p>
    <w:p w14:paraId="6A96BAB4">
      <w:pPr>
        <w:spacing w:line="360" w:lineRule="auto"/>
        <w:ind w:firstLine="482"/>
        <w:contextualSpacing/>
        <w:jc w:val="both"/>
        <w:rPr>
          <w:rFonts w:hint="eastAsia" w:ascii="宋体" w:hAnsi="宋体" w:eastAsia="宋体" w:cs="宋体"/>
          <w:b/>
          <w:bCs w:val="0"/>
          <w:color w:val="auto"/>
          <w:sz w:val="24"/>
          <w:szCs w:val="24"/>
          <w:highlight w:val="none"/>
          <w:lang w:bidi="ar"/>
        </w:rPr>
      </w:pPr>
      <w:r>
        <w:rPr>
          <w:rFonts w:hint="eastAsia" w:ascii="宋体" w:hAnsi="宋体" w:eastAsia="宋体" w:cs="宋体"/>
          <w:b/>
          <w:bCs w:val="0"/>
          <w:color w:val="auto"/>
          <w:sz w:val="24"/>
          <w:szCs w:val="24"/>
          <w:highlight w:val="none"/>
          <w:lang w:bidi="ar"/>
        </w:rPr>
        <w:t>7.</w:t>
      </w:r>
      <w:r>
        <w:rPr>
          <w:rFonts w:hint="eastAsia" w:ascii="宋体" w:hAnsi="宋体" w:eastAsia="宋体" w:cs="宋体"/>
          <w:b/>
          <w:bCs w:val="0"/>
          <w:color w:val="auto"/>
          <w:sz w:val="24"/>
          <w:szCs w:val="24"/>
          <w:highlight w:val="none"/>
          <w:lang w:val="en-US" w:eastAsia="zh-CN" w:bidi="ar"/>
        </w:rPr>
        <w:t>3</w:t>
      </w:r>
      <w:r>
        <w:rPr>
          <w:rFonts w:hint="eastAsia" w:ascii="宋体" w:hAnsi="宋体" w:eastAsia="宋体" w:cs="宋体"/>
          <w:b/>
          <w:bCs w:val="0"/>
          <w:color w:val="auto"/>
          <w:sz w:val="24"/>
          <w:szCs w:val="24"/>
          <w:highlight w:val="none"/>
          <w:lang w:bidi="ar"/>
        </w:rPr>
        <w:t>工程进度款：项目完成且验收合格后付至合同金额的</w:t>
      </w:r>
      <w:r>
        <w:rPr>
          <w:rFonts w:hint="eastAsia" w:ascii="宋体" w:hAnsi="宋体" w:eastAsia="宋体" w:cs="宋体"/>
          <w:b/>
          <w:bCs w:val="0"/>
          <w:color w:val="auto"/>
          <w:sz w:val="24"/>
          <w:szCs w:val="24"/>
          <w:highlight w:val="none"/>
          <w:lang w:val="en-US" w:eastAsia="zh-CN" w:bidi="ar"/>
        </w:rPr>
        <w:t>66</w:t>
      </w:r>
      <w:r>
        <w:rPr>
          <w:rFonts w:hint="eastAsia" w:ascii="宋体" w:hAnsi="宋体" w:eastAsia="宋体" w:cs="宋体"/>
          <w:b/>
          <w:bCs w:val="0"/>
          <w:color w:val="auto"/>
          <w:sz w:val="24"/>
          <w:szCs w:val="24"/>
          <w:highlight w:val="none"/>
          <w:lang w:bidi="ar"/>
        </w:rPr>
        <w:t>%，审计结束后付至审定价的95%，质保期满后付清余款。</w:t>
      </w:r>
    </w:p>
    <w:p w14:paraId="37116096">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7.</w:t>
      </w:r>
      <w:r>
        <w:rPr>
          <w:rFonts w:hint="eastAsia" w:ascii="宋体" w:hAnsi="宋体" w:eastAsia="宋体" w:cs="宋体"/>
          <w:bCs/>
          <w:color w:val="auto"/>
          <w:sz w:val="24"/>
          <w:szCs w:val="24"/>
          <w:highlight w:val="none"/>
          <w:lang w:val="en-US" w:eastAsia="zh-CN" w:bidi="ar"/>
        </w:rPr>
        <w:t>4</w:t>
      </w:r>
      <w:r>
        <w:rPr>
          <w:rFonts w:hint="eastAsia" w:ascii="宋体" w:hAnsi="宋体" w:eastAsia="宋体" w:cs="宋体"/>
          <w:bCs/>
          <w:color w:val="auto"/>
          <w:sz w:val="24"/>
          <w:szCs w:val="24"/>
          <w:highlight w:val="none"/>
          <w:lang w:bidi="ar"/>
        </w:rPr>
        <w:t>质保</w:t>
      </w:r>
      <w:r>
        <w:rPr>
          <w:rFonts w:hint="eastAsia" w:ascii="宋体" w:hAnsi="宋体" w:eastAsia="宋体" w:cs="宋体"/>
          <w:color w:val="auto"/>
          <w:sz w:val="24"/>
          <w:szCs w:val="24"/>
          <w:highlight w:val="none"/>
          <w:lang w:bidi="ar"/>
        </w:rPr>
        <w:t>期：本项目免费质保期</w:t>
      </w:r>
      <w:r>
        <w:rPr>
          <w:rFonts w:hint="eastAsia" w:ascii="宋体" w:hAnsi="宋体" w:eastAsia="宋体" w:cs="宋体"/>
          <w:color w:val="auto"/>
          <w:sz w:val="24"/>
          <w:szCs w:val="24"/>
          <w:highlight w:val="none"/>
          <w:lang w:val="en-US" w:eastAsia="zh-CN" w:bidi="ar"/>
        </w:rPr>
        <w:t>24</w:t>
      </w:r>
      <w:r>
        <w:rPr>
          <w:rFonts w:hint="eastAsia" w:ascii="宋体" w:hAnsi="宋体" w:eastAsia="宋体" w:cs="宋体"/>
          <w:color w:val="auto"/>
          <w:sz w:val="24"/>
          <w:szCs w:val="24"/>
          <w:highlight w:val="none"/>
          <w:lang w:bidi="ar"/>
        </w:rPr>
        <w:t>个月。</w:t>
      </w:r>
    </w:p>
    <w:p w14:paraId="0BC623A6">
      <w:pPr>
        <w:spacing w:line="360" w:lineRule="auto"/>
        <w:ind w:firstLine="480"/>
        <w:contextualSpacing/>
        <w:jc w:val="left"/>
        <w:rPr>
          <w:rFonts w:hint="eastAsia" w:ascii="宋体" w:hAnsi="宋体" w:eastAsia="宋体" w:cs="宋体"/>
          <w:strike/>
          <w:color w:val="auto"/>
          <w:sz w:val="24"/>
          <w:szCs w:val="24"/>
          <w:highlight w:val="none"/>
        </w:rPr>
      </w:pPr>
      <w:r>
        <w:rPr>
          <w:rFonts w:hint="eastAsia" w:ascii="宋体" w:hAnsi="宋体" w:eastAsia="宋体" w:cs="宋体"/>
          <w:bCs/>
          <w:color w:val="auto"/>
          <w:sz w:val="24"/>
          <w:szCs w:val="24"/>
          <w:highlight w:val="none"/>
          <w:lang w:bidi="ar"/>
        </w:rPr>
        <w:t>7.</w:t>
      </w:r>
      <w:r>
        <w:rPr>
          <w:rFonts w:hint="eastAsia" w:ascii="宋体" w:hAnsi="宋体" w:eastAsia="宋体" w:cs="宋体"/>
          <w:bCs/>
          <w:color w:val="auto"/>
          <w:sz w:val="24"/>
          <w:szCs w:val="24"/>
          <w:highlight w:val="none"/>
          <w:lang w:val="en-US" w:eastAsia="zh-CN" w:bidi="ar"/>
        </w:rPr>
        <w:t>5</w:t>
      </w:r>
      <w:r>
        <w:rPr>
          <w:rFonts w:hint="eastAsia" w:ascii="宋体" w:hAnsi="宋体" w:eastAsia="宋体" w:cs="宋体"/>
          <w:bCs/>
          <w:color w:val="auto"/>
          <w:sz w:val="24"/>
          <w:szCs w:val="24"/>
          <w:highlight w:val="none"/>
          <w:lang w:bidi="ar"/>
        </w:rPr>
        <w:t>本工程为固定单</w:t>
      </w:r>
      <w:r>
        <w:rPr>
          <w:rFonts w:hint="eastAsia" w:ascii="宋体" w:hAnsi="宋体" w:eastAsia="宋体" w:cs="宋体"/>
          <w:color w:val="auto"/>
          <w:sz w:val="24"/>
          <w:szCs w:val="24"/>
          <w:highlight w:val="none"/>
        </w:rPr>
        <w:t>价报价：乙方应充分考虑施工期间各类建材的市场风险和国家政策性调整风险系数，具体按照国家和苏州市相关文件执行。合同内工程结算单价按投标单价执行，新增项目单价按合同约定执行。本工程人工、材料均不调差。</w:t>
      </w:r>
    </w:p>
    <w:p w14:paraId="78F3ECEA">
      <w:pPr>
        <w:tabs>
          <w:tab w:val="left" w:pos="4650"/>
        </w:tabs>
        <w:spacing w:line="360" w:lineRule="auto"/>
        <w:ind w:firstLine="480"/>
        <w:contextualSpacing/>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7.</w:t>
      </w:r>
      <w:r>
        <w:rPr>
          <w:rFonts w:hint="eastAsia" w:ascii="宋体" w:hAnsi="宋体" w:eastAsia="宋体" w:cs="宋体"/>
          <w:color w:val="auto"/>
          <w:sz w:val="24"/>
          <w:szCs w:val="24"/>
          <w:highlight w:val="none"/>
          <w:lang w:val="en-US" w:eastAsia="zh-CN" w:bidi="ar"/>
        </w:rPr>
        <w:t>6</w:t>
      </w:r>
      <w:r>
        <w:rPr>
          <w:rFonts w:hint="eastAsia" w:ascii="宋体" w:hAnsi="宋体" w:eastAsia="宋体" w:cs="宋体"/>
          <w:color w:val="auto"/>
          <w:sz w:val="24"/>
          <w:szCs w:val="24"/>
          <w:highlight w:val="none"/>
          <w:lang w:bidi="ar"/>
        </w:rPr>
        <w:t>本合同</w:t>
      </w:r>
      <w:r>
        <w:rPr>
          <w:rFonts w:hint="eastAsia" w:ascii="宋体" w:hAnsi="宋体" w:eastAsia="宋体" w:cs="宋体"/>
          <w:color w:val="auto"/>
          <w:sz w:val="24"/>
          <w:szCs w:val="24"/>
          <w:highlight w:val="none"/>
        </w:rPr>
        <w:t>工程中工程量清单项目的综合单价按预算单价下浮之后的综合单价执行，成交下浮率＝（预算价-成交价）/[预算价-暂列金额*（1+规费费率）*（1+税费费率）-专业暂估价*（1+规费费率）*（1+税费费率）-材料暂估价包括甲供材料费*（1+安全文明施工措施费率）*（1+规费费率）*（1+税费费率）]。现场签证等引起的工程量增减，若工程量清单项目工程量的变化幅度超过10%，并且影响分部分项工程费超过0.1%的综合单价可调整；其增加部分的工程量或者减少后剩余部分的工程量的综合单价由承包人提出，经采购人确认后，作为支付进度款的依据。最终价格以评审为准。</w:t>
      </w:r>
    </w:p>
    <w:p w14:paraId="1AEBBBC2">
      <w:pPr>
        <w:tabs>
          <w:tab w:val="left" w:pos="567"/>
        </w:tabs>
        <w:spacing w:line="360" w:lineRule="auto"/>
        <w:ind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7.</w:t>
      </w:r>
      <w:r>
        <w:rPr>
          <w:rFonts w:hint="eastAsia" w:ascii="宋体" w:hAnsi="宋体" w:eastAsia="宋体" w:cs="宋体"/>
          <w:color w:val="auto"/>
          <w:sz w:val="24"/>
          <w:szCs w:val="24"/>
          <w:highlight w:val="none"/>
          <w:lang w:val="en-US" w:eastAsia="zh-CN" w:bidi="ar"/>
        </w:rPr>
        <w:t>7</w:t>
      </w:r>
      <w:r>
        <w:rPr>
          <w:rFonts w:hint="eastAsia" w:ascii="宋体" w:hAnsi="宋体" w:eastAsia="宋体" w:cs="宋体"/>
          <w:color w:val="auto"/>
          <w:sz w:val="24"/>
          <w:szCs w:val="24"/>
          <w:highlight w:val="none"/>
        </w:rPr>
        <w:t>本工程中新增加的工程量清单项目（如报价时工程量清单漏项、因设计变更或采购人要求而新增加的内容等，引起的新工程量清单项目）的价格，原则上按计价表定额和现行规范、预算评审人工及信息价、费率等组价，并按成交下浮率下浮。</w:t>
      </w:r>
    </w:p>
    <w:p w14:paraId="166976F9">
      <w:pPr>
        <w:tabs>
          <w:tab w:val="left" w:pos="567"/>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本工程的各项施工措施费，均包含在合同总价中。其他在采购文件和答疑中未提及、未明确部分的施工措施费项目，可以根据相关资料按实调整，并作相应的下浮。</w:t>
      </w:r>
    </w:p>
    <w:p w14:paraId="76CAFD5F">
      <w:pPr>
        <w:tabs>
          <w:tab w:val="left" w:pos="567"/>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如由于“营改增”引起工程造价调整的，按税务部门的相关规定执行。</w:t>
      </w:r>
    </w:p>
    <w:p w14:paraId="7E8309C4">
      <w:pPr>
        <w:tabs>
          <w:tab w:val="left" w:pos="4650"/>
        </w:tabs>
        <w:spacing w:line="360" w:lineRule="auto"/>
        <w:ind w:firstLine="480"/>
        <w:contextualSpacing/>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7.1</w:t>
      </w:r>
      <w:r>
        <w:rPr>
          <w:rFonts w:hint="eastAsia" w:ascii="宋体" w:hAnsi="宋体" w:eastAsia="宋体" w:cs="宋体"/>
          <w:bCs/>
          <w:color w:val="auto"/>
          <w:sz w:val="24"/>
          <w:szCs w:val="24"/>
          <w:highlight w:val="none"/>
          <w:lang w:val="en-US" w:eastAsia="zh-CN" w:bidi="ar"/>
        </w:rPr>
        <w:t>0</w:t>
      </w:r>
      <w:r>
        <w:rPr>
          <w:rFonts w:hint="eastAsia" w:ascii="宋体" w:hAnsi="宋体" w:eastAsia="宋体" w:cs="宋体"/>
          <w:bCs/>
          <w:color w:val="auto"/>
          <w:sz w:val="24"/>
          <w:szCs w:val="24"/>
          <w:highlight w:val="none"/>
          <w:lang w:bidi="ar"/>
        </w:rPr>
        <w:t>因分部分项工程量清单漏项或非乙方原因的工程变更，造成增加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乙方提出综合单价，经甲方确认后执行。</w:t>
      </w:r>
    </w:p>
    <w:p w14:paraId="271B7D0E">
      <w:pPr>
        <w:tabs>
          <w:tab w:val="left" w:pos="4650"/>
        </w:tabs>
        <w:spacing w:line="360" w:lineRule="auto"/>
        <w:ind w:firstLine="480"/>
        <w:contextualSpacing/>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注意事项：甲方在执行本条款d)时，确认的综合单价应审慎、严谨，价格不能高于市场价。如损失无法追回，财政评审将在结算审核时予以披露，并向财政局通报。</w:t>
      </w:r>
    </w:p>
    <w:p w14:paraId="62A106AB">
      <w:pPr>
        <w:spacing w:line="360" w:lineRule="auto"/>
        <w:ind w:firstLine="482"/>
        <w:contextualSpacing/>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8、违约责任：</w:t>
      </w:r>
    </w:p>
    <w:p w14:paraId="7AFEFC42">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8.1甲方无正当理由未按合同约定付款的，每延期一天，按应付款金额的万分之四支付违约金。</w:t>
      </w:r>
    </w:p>
    <w:p w14:paraId="5D2C0C34">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8.2由于乙方原因，不能按期开工或中途无故停工或因工程质量问题甲方验收不合格的，工期不予顺延。逾期完工的，每逾期一天，由乙方支付违约金5000元，由采购单位在支付工程款时扣除。如延误工期达10日以上的，甲方有权解除本合同，并要求乙方另行承担合同总价10％的违约金。</w:t>
      </w:r>
    </w:p>
    <w:p w14:paraId="6758E82A">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8.3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p>
    <w:p w14:paraId="407746FF">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8.4</w:t>
      </w:r>
      <w:r>
        <w:rPr>
          <w:rFonts w:hint="eastAsia" w:ascii="宋体" w:hAnsi="宋体" w:eastAsia="宋体" w:cs="宋体"/>
          <w:bCs/>
          <w:color w:val="auto"/>
          <w:sz w:val="24"/>
          <w:highlight w:val="none"/>
          <w:lang w:bidi="ar"/>
        </w:rPr>
        <w:t>如乙方发生人身安全事故、拖欠民工工资、发生质量问题拖延整改、擅自转包或分包、项目经理或主要负责人擅自离岗、拒不服从甲方指令、发生阻工闹事等情形之一的，乙方承担一切责任，并应向甲方支付合同价款2％的违约金。</w:t>
      </w:r>
    </w:p>
    <w:p w14:paraId="31BB6F27">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8.5乙方违反本协议第7.2条约定，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p>
    <w:p w14:paraId="24EE7BEB">
      <w:pPr>
        <w:spacing w:line="360" w:lineRule="auto"/>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8.6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p>
    <w:p w14:paraId="6CEDC63C">
      <w:pPr>
        <w:spacing w:line="360" w:lineRule="auto"/>
        <w:ind w:firstLine="482"/>
        <w:contextualSpacing/>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9、不可抗力：</w:t>
      </w:r>
    </w:p>
    <w:p w14:paraId="60D01B84">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9.1 因不可抗力不能履行合同的，根据不可抗力的影响，部分或者全部免除责任。但合同一方延迟履行后发生不可抗力的，不能免除责任。</w:t>
      </w:r>
    </w:p>
    <w:p w14:paraId="0F79BCA1">
      <w:pPr>
        <w:spacing w:line="360" w:lineRule="auto"/>
        <w:ind w:firstLine="48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9.2 合同一方因不可抗力不能履行合同的，应当及时通知对方，以减轻可能给对方造成的损失，并应当在合理期限内提供证明。</w:t>
      </w:r>
    </w:p>
    <w:p w14:paraId="4DE351EC">
      <w:pPr>
        <w:spacing w:line="360" w:lineRule="auto"/>
        <w:ind w:firstLine="482"/>
        <w:contextualSpacing/>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10、争议解决办法</w:t>
      </w:r>
    </w:p>
    <w:p w14:paraId="56CCA2DE">
      <w:pPr>
        <w:spacing w:line="360" w:lineRule="auto"/>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甲乙双方因合同发生争议，可在招标机构的主持下进行调解；协商不成的，任何一方可以向工程所在地有管辖权的人民法院提起诉讼。</w:t>
      </w:r>
    </w:p>
    <w:p w14:paraId="6513FDF3">
      <w:pPr>
        <w:spacing w:line="360" w:lineRule="auto"/>
        <w:ind w:firstLine="482"/>
        <w:contextualSpacing/>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11、合同生效</w:t>
      </w:r>
    </w:p>
    <w:p w14:paraId="7D489919">
      <w:pPr>
        <w:spacing w:line="360" w:lineRule="auto"/>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本合同经双方法定（授权）代表人签字（或盖章）并盖单位公章（或合同专用章）后生效。</w:t>
      </w:r>
    </w:p>
    <w:p w14:paraId="3339A4E2">
      <w:pPr>
        <w:spacing w:line="360" w:lineRule="auto"/>
        <w:ind w:firstLine="482"/>
        <w:contextualSpacing/>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12、附则</w:t>
      </w:r>
    </w:p>
    <w:p w14:paraId="17D19959">
      <w:pPr>
        <w:spacing w:line="360" w:lineRule="auto"/>
        <w:ind w:firstLine="480"/>
        <w:contextualSpacing/>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12.</w:t>
      </w:r>
      <w:r>
        <w:rPr>
          <w:rFonts w:hint="eastAsia" w:ascii="宋体" w:hAnsi="宋体" w:eastAsia="宋体" w:cs="宋体"/>
          <w:color w:val="auto"/>
          <w:sz w:val="24"/>
          <w:szCs w:val="24"/>
          <w:highlight w:val="none"/>
          <w:lang w:bidi="ar"/>
        </w:rPr>
        <w:t>1本合同一式肆份，甲方壹份、乙方壹份，采购代理机构执贰份。</w:t>
      </w:r>
    </w:p>
    <w:p w14:paraId="2A77B71F">
      <w:pPr>
        <w:spacing w:line="360" w:lineRule="auto"/>
        <w:ind w:firstLine="480"/>
        <w:contextualSpacing/>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12.</w:t>
      </w:r>
      <w:r>
        <w:rPr>
          <w:rFonts w:hint="eastAsia" w:ascii="宋体" w:hAnsi="宋体" w:eastAsia="宋体" w:cs="宋体"/>
          <w:color w:val="auto"/>
          <w:sz w:val="24"/>
          <w:szCs w:val="24"/>
          <w:highlight w:val="none"/>
          <w:lang w:bidi="ar"/>
        </w:rPr>
        <w:t>2本合同文件使用中文书写、解释和说明。</w:t>
      </w:r>
    </w:p>
    <w:p w14:paraId="0261C275">
      <w:pPr>
        <w:spacing w:line="360" w:lineRule="auto"/>
        <w:ind w:firstLine="480"/>
        <w:contextualSpacing/>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12.</w:t>
      </w:r>
      <w:r>
        <w:rPr>
          <w:rFonts w:hint="eastAsia" w:ascii="宋体" w:hAnsi="宋体" w:eastAsia="宋体" w:cs="宋体"/>
          <w:color w:val="auto"/>
          <w:sz w:val="24"/>
          <w:szCs w:val="24"/>
          <w:highlight w:val="none"/>
          <w:lang w:bidi="ar"/>
        </w:rPr>
        <w:t>3本合同履行过程中产生的纪要、协议以及成交通知书、磋商响应文件、磋商承诺函和磋商文件为本合同的附件，与合同具有同等效力。</w:t>
      </w:r>
    </w:p>
    <w:p w14:paraId="50E251C8">
      <w:pPr>
        <w:spacing w:line="360" w:lineRule="auto"/>
        <w:ind w:firstLine="480"/>
        <w:contextualSpacing/>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12.</w:t>
      </w:r>
      <w:r>
        <w:rPr>
          <w:rFonts w:hint="eastAsia" w:ascii="宋体" w:hAnsi="宋体" w:eastAsia="宋体" w:cs="宋体"/>
          <w:color w:val="auto"/>
          <w:sz w:val="24"/>
          <w:szCs w:val="24"/>
          <w:highlight w:val="none"/>
          <w:lang w:bidi="ar"/>
        </w:rPr>
        <w:t>4</w:t>
      </w:r>
      <w:r>
        <w:rPr>
          <w:rFonts w:hint="eastAsia" w:ascii="宋体" w:hAnsi="宋体" w:eastAsia="宋体" w:cs="宋体"/>
          <w:color w:val="auto"/>
          <w:sz w:val="24"/>
          <w:szCs w:val="24"/>
          <w:highlight w:val="none"/>
        </w:rPr>
        <w:t>本合同未尽事宜应按《中华人民共和国民法典》、《中华人民共和国政府采购法》以及其同相关法律、法规之规定解释，</w:t>
      </w:r>
      <w:r>
        <w:rPr>
          <w:rFonts w:hint="eastAsia" w:ascii="宋体" w:hAnsi="宋体" w:eastAsia="宋体" w:cs="宋体"/>
          <w:bCs/>
          <w:color w:val="auto"/>
          <w:sz w:val="24"/>
          <w:szCs w:val="24"/>
          <w:highlight w:val="none"/>
        </w:rPr>
        <w:t>在执行过程中双方在不违背本合同和采购文件的原则下协商解决，协商结果以书面形式盖章记录在案，作为本合同的附件，与本合同具有同等效力，但须提交采购代理机构一份备存。</w:t>
      </w:r>
    </w:p>
    <w:p w14:paraId="72609A19">
      <w:pPr>
        <w:spacing w:line="440" w:lineRule="exact"/>
        <w:ind w:firstLine="0"/>
        <w:jc w:val="center"/>
        <w:rPr>
          <w:rFonts w:hint="eastAsia" w:ascii="宋体" w:hAnsi="宋体" w:eastAsia="宋体" w:cs="宋体"/>
          <w:color w:val="auto"/>
          <w:sz w:val="24"/>
          <w:szCs w:val="24"/>
          <w:highlight w:val="none"/>
          <w:lang w:eastAsia="zh-CN"/>
        </w:rPr>
        <w:sectPr>
          <w:pgSz w:w="11907" w:h="16839"/>
          <w:pgMar w:top="1440" w:right="1080" w:bottom="1440" w:left="1080" w:header="567" w:footer="794" w:gutter="0"/>
          <w:cols w:space="720" w:num="1"/>
          <w:titlePg/>
          <w:docGrid w:linePitch="360" w:charSpace="0"/>
        </w:sectPr>
      </w:pPr>
    </w:p>
    <w:p w14:paraId="0A852992">
      <w:pPr>
        <w:keepNext w:val="0"/>
        <w:keepLines w:val="0"/>
        <w:pageBreakBefore w:val="0"/>
        <w:widowControl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附件1：</w:t>
      </w:r>
    </w:p>
    <w:p w14:paraId="6B35250E">
      <w:pPr>
        <w:keepNext w:val="0"/>
        <w:keepLines w:val="0"/>
        <w:pageBreakBefore w:val="0"/>
        <w:widowControl w:val="0"/>
        <w:spacing w:line="360" w:lineRule="auto"/>
        <w:ind w:firstLine="0"/>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工程质量保修书</w:t>
      </w:r>
    </w:p>
    <w:p w14:paraId="5847CE89">
      <w:pPr>
        <w:spacing w:line="360" w:lineRule="auto"/>
        <w:ind w:firstLine="4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szCs w:val="24"/>
          <w:highlight w:val="none"/>
          <w:u w:val="single"/>
          <w:lang w:eastAsia="zh-CN"/>
        </w:rPr>
        <w:t>太仓市人民政府陆渡街道办事处</w:t>
      </w:r>
    </w:p>
    <w:p w14:paraId="6E16A6E2">
      <w:pPr>
        <w:spacing w:line="360" w:lineRule="auto"/>
        <w:ind w:firstLine="440"/>
        <w:rPr>
          <w:rFonts w:hint="eastAsia" w:ascii="宋体" w:hAnsi="宋体" w:eastAsia="宋体" w:cs="宋体"/>
          <w:color w:val="auto"/>
          <w:spacing w:val="10"/>
          <w:sz w:val="24"/>
          <w:szCs w:val="24"/>
          <w:highlight w:val="none"/>
          <w:u w:val="single"/>
        </w:rPr>
      </w:pPr>
      <w:r>
        <w:rPr>
          <w:rFonts w:hint="eastAsia" w:ascii="宋体" w:hAnsi="宋体" w:eastAsia="宋体" w:cs="宋体"/>
          <w:color w:val="auto"/>
          <w:sz w:val="24"/>
          <w:szCs w:val="24"/>
          <w:highlight w:val="none"/>
        </w:rPr>
        <w:t>承包人(全称)：</w:t>
      </w:r>
      <w:r>
        <w:rPr>
          <w:rFonts w:hint="eastAsia" w:ascii="宋体" w:hAnsi="宋体" w:eastAsia="宋体" w:cs="宋体"/>
          <w:color w:val="auto"/>
          <w:sz w:val="24"/>
          <w:szCs w:val="24"/>
          <w:highlight w:val="none"/>
          <w:u w:val="single"/>
        </w:rPr>
        <w:t xml:space="preserve">                      </w:t>
      </w:r>
    </w:p>
    <w:p w14:paraId="5CE2AF0D">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w:t>
      </w:r>
      <w:r>
        <w:rPr>
          <w:rFonts w:hint="eastAsia" w:ascii="宋体" w:hAnsi="宋体" w:eastAsia="宋体" w:cs="宋体"/>
          <w:bCs/>
          <w:color w:val="auto"/>
          <w:spacing w:val="-6"/>
          <w:sz w:val="24"/>
          <w:szCs w:val="24"/>
          <w:highlight w:val="none"/>
          <w:u w:val="single"/>
          <w:lang w:eastAsia="zh-CN"/>
        </w:rPr>
        <w:t>恒通佳苑消防改造项目</w:t>
      </w:r>
      <w:r>
        <w:rPr>
          <w:rFonts w:hint="eastAsia" w:ascii="宋体" w:hAnsi="宋体" w:eastAsia="宋体" w:cs="宋体"/>
          <w:color w:val="auto"/>
          <w:sz w:val="24"/>
          <w:szCs w:val="24"/>
          <w:highlight w:val="none"/>
        </w:rPr>
        <w:t>在合理使用期限内正常使用，发包人承包人协商一致签订工程质量保修书。承包人在质量保修期内按照有关管理规定及双方约定承担工程质量保修责任。</w:t>
      </w:r>
    </w:p>
    <w:p w14:paraId="1973C550">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一、工程质量保修范围和内容</w:t>
      </w:r>
    </w:p>
    <w:p w14:paraId="26553A8A">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p>
    <w:p w14:paraId="2D615CFF">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二、质量保修期</w:t>
      </w:r>
    </w:p>
    <w:p w14:paraId="39231F5A">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质量保修期从工程实际竣工之日算起。分单项竣工验收的工程，按单项工程分别计算质量保修期。</w:t>
      </w:r>
    </w:p>
    <w:p w14:paraId="75437E06">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双方根据国家有关规定，结合具体工程约定质量保修期如下：</w:t>
      </w:r>
    </w:p>
    <w:p w14:paraId="2F757A68">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1、地基基础工程和主体结构工程为设计文件规定的该工程合理使用年限；</w:t>
      </w:r>
    </w:p>
    <w:p w14:paraId="40B14098">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2、除基础、主体及防水外的其他土建工程、装修为</w:t>
      </w:r>
      <w:r>
        <w:rPr>
          <w:rFonts w:hint="eastAsia" w:ascii="宋体" w:hAnsi="宋体" w:eastAsia="宋体" w:cs="宋体"/>
          <w:color w:val="auto"/>
          <w:sz w:val="24"/>
          <w:szCs w:val="24"/>
          <w:highlight w:val="none"/>
          <w:u w:val="single"/>
        </w:rPr>
        <w:t>二</w:t>
      </w:r>
      <w:r>
        <w:rPr>
          <w:rFonts w:hint="eastAsia" w:ascii="宋体" w:hAnsi="宋体" w:eastAsia="宋体" w:cs="宋体"/>
          <w:color w:val="auto"/>
          <w:sz w:val="24"/>
          <w:szCs w:val="24"/>
          <w:highlight w:val="none"/>
        </w:rPr>
        <w:t>年，屋面防水工程、有防水要求的卫生间、外墙面的防渗漏为</w:t>
      </w:r>
      <w:r>
        <w:rPr>
          <w:rFonts w:hint="eastAsia" w:ascii="宋体" w:hAnsi="宋体" w:eastAsia="宋体" w:cs="宋体"/>
          <w:color w:val="auto"/>
          <w:sz w:val="24"/>
          <w:szCs w:val="24"/>
          <w:highlight w:val="none"/>
          <w:u w:val="single"/>
        </w:rPr>
        <w:t>五</w:t>
      </w:r>
      <w:r>
        <w:rPr>
          <w:rFonts w:hint="eastAsia" w:ascii="宋体" w:hAnsi="宋体" w:eastAsia="宋体" w:cs="宋体"/>
          <w:color w:val="auto"/>
          <w:sz w:val="24"/>
          <w:szCs w:val="24"/>
          <w:highlight w:val="none"/>
        </w:rPr>
        <w:t>年；</w:t>
      </w:r>
    </w:p>
    <w:p w14:paraId="6E14A1A1">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3、电气管线、上下水管线安装工程为</w:t>
      </w:r>
      <w:r>
        <w:rPr>
          <w:rFonts w:hint="eastAsia" w:ascii="宋体" w:hAnsi="宋体" w:eastAsia="宋体" w:cs="宋体"/>
          <w:color w:val="auto"/>
          <w:sz w:val="24"/>
          <w:szCs w:val="24"/>
          <w:highlight w:val="none"/>
          <w:u w:val="single"/>
        </w:rPr>
        <w:t>二</w:t>
      </w:r>
      <w:r>
        <w:rPr>
          <w:rFonts w:hint="eastAsia" w:ascii="宋体" w:hAnsi="宋体" w:eastAsia="宋体" w:cs="宋体"/>
          <w:color w:val="auto"/>
          <w:sz w:val="24"/>
          <w:szCs w:val="24"/>
          <w:highlight w:val="none"/>
        </w:rPr>
        <w:t>年；</w:t>
      </w:r>
    </w:p>
    <w:p w14:paraId="05F05E7F">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4、供热及供冷为</w:t>
      </w:r>
      <w:r>
        <w:rPr>
          <w:rFonts w:hint="eastAsia" w:ascii="宋体" w:hAnsi="宋体" w:eastAsia="宋体" w:cs="宋体"/>
          <w:color w:val="auto"/>
          <w:sz w:val="24"/>
          <w:szCs w:val="24"/>
          <w:highlight w:val="none"/>
          <w:u w:val="single"/>
        </w:rPr>
        <w:t>二</w:t>
      </w:r>
      <w:r>
        <w:rPr>
          <w:rFonts w:hint="eastAsia" w:ascii="宋体" w:hAnsi="宋体" w:eastAsia="宋体" w:cs="宋体"/>
          <w:color w:val="auto"/>
          <w:sz w:val="24"/>
          <w:szCs w:val="24"/>
          <w:highlight w:val="none"/>
        </w:rPr>
        <w:t>个采暖期及供冷期；</w:t>
      </w:r>
    </w:p>
    <w:p w14:paraId="5EF37655">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5、室外的上下水和小区道路等市政公用工程为</w:t>
      </w:r>
      <w:r>
        <w:rPr>
          <w:rFonts w:hint="eastAsia" w:ascii="宋体" w:hAnsi="宋体" w:eastAsia="宋体" w:cs="宋体"/>
          <w:color w:val="auto"/>
          <w:sz w:val="24"/>
          <w:szCs w:val="24"/>
          <w:highlight w:val="none"/>
          <w:u w:val="single"/>
        </w:rPr>
        <w:t>二</w:t>
      </w:r>
      <w:r>
        <w:rPr>
          <w:rFonts w:hint="eastAsia" w:ascii="宋体" w:hAnsi="宋体" w:eastAsia="宋体" w:cs="宋体"/>
          <w:color w:val="auto"/>
          <w:sz w:val="24"/>
          <w:szCs w:val="24"/>
          <w:highlight w:val="none"/>
        </w:rPr>
        <w:t>年；</w:t>
      </w:r>
    </w:p>
    <w:p w14:paraId="5F5DF8C0">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6、其他约定：</w:t>
      </w:r>
      <w:r>
        <w:rPr>
          <w:rFonts w:hint="eastAsia" w:ascii="宋体" w:hAnsi="宋体" w:eastAsia="宋体" w:cs="宋体"/>
          <w:color w:val="auto"/>
          <w:sz w:val="24"/>
          <w:szCs w:val="24"/>
          <w:highlight w:val="none"/>
          <w:lang w:val="en-US" w:eastAsia="zh-CN"/>
        </w:rPr>
        <w:t>本项目质保期二年</w:t>
      </w:r>
      <w:r>
        <w:rPr>
          <w:rFonts w:hint="eastAsia" w:ascii="宋体" w:hAnsi="宋体" w:eastAsia="宋体" w:cs="宋体"/>
          <w:color w:val="auto"/>
          <w:sz w:val="24"/>
          <w:szCs w:val="24"/>
          <w:highlight w:val="none"/>
        </w:rPr>
        <w:t>；</w:t>
      </w:r>
    </w:p>
    <w:p w14:paraId="0D4D3536">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三、质量保修责任</w:t>
      </w:r>
    </w:p>
    <w:p w14:paraId="3904DF0A">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1、属于保修范围和内容的项目，承包人应在接到修理通知之日后7 天内派人修理。约定期限内，承包人未派人修理，发包人可委托其他人员修理，维修费用由承包人承担。</w:t>
      </w:r>
    </w:p>
    <w:p w14:paraId="4F675873">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2、发生须紧急抢修事故（如上水跑水、暖气漏水漏气、燃气漏气等），承包人接到事故通知后，应立即到达事故现场抢修。非承包人施工质量引起的事故，抢修费用由发包人承担。</w:t>
      </w:r>
    </w:p>
    <w:p w14:paraId="3F590CBC">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3、在国家规定的工程合理使用期限内，承包人确保地基基础工程和主体结构的质量。因承包人原因致使工程在合理使用期限内造成人身和财产损害的，承包人应承担损害赔偿责任。</w:t>
      </w:r>
    </w:p>
    <w:p w14:paraId="2D993895">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四、缺陷责任期</w:t>
      </w:r>
    </w:p>
    <w:p w14:paraId="7CC975A9">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工程缺陷责任期为</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个月，缺陷责任期自工程通过竣工验收之日起计算。单位工程先于全部工程进行验收，单位工程缺陷责任期自单位工程验收合格之日起算。缺陷责任期终止后，发包人应退还剩余的质量保证金。</w:t>
      </w:r>
    </w:p>
    <w:p w14:paraId="36A658A3">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五、保修费用</w:t>
      </w:r>
    </w:p>
    <w:p w14:paraId="30DC1380">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保修费用由造成质量缺陷的责任方承担。</w:t>
      </w:r>
    </w:p>
    <w:p w14:paraId="4ACB28E1">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六、其他</w:t>
      </w:r>
    </w:p>
    <w:p w14:paraId="0D4965EF">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双方约定的其他工程质量保修事项：无。</w:t>
      </w:r>
    </w:p>
    <w:p w14:paraId="5B961BF8">
      <w:pP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本工程质量保修作书为施工合同附件，由施工合同发包人承包人双方共同签署，其有效期至保修期满。</w:t>
      </w:r>
    </w:p>
    <w:p w14:paraId="20DB0092">
      <w:pPr>
        <w:rPr>
          <w:rFonts w:hint="eastAsia" w:ascii="宋体" w:hAnsi="宋体" w:eastAsia="宋体" w:cs="宋体"/>
          <w:b/>
          <w:color w:val="auto"/>
          <w:sz w:val="24"/>
          <w:szCs w:val="24"/>
          <w:highlight w:val="none"/>
        </w:rPr>
      </w:pPr>
    </w:p>
    <w:p w14:paraId="2C14B8AD">
      <w:pPr>
        <w:rPr>
          <w:rFonts w:hint="eastAsia" w:ascii="宋体" w:hAnsi="宋体" w:eastAsia="宋体" w:cs="宋体"/>
          <w:b/>
          <w:color w:val="auto"/>
          <w:sz w:val="24"/>
          <w:szCs w:val="24"/>
          <w:highlight w:val="none"/>
        </w:rPr>
      </w:pPr>
    </w:p>
    <w:p w14:paraId="50A6C23F">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发包人：（公章或合同章）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rPr>
        <w:t>承包人：（公章或合同章）</w:t>
      </w:r>
    </w:p>
    <w:p w14:paraId="5E7DC8B6">
      <w:pPr>
        <w:widowControl/>
        <w:spacing w:line="360" w:lineRule="auto"/>
        <w:ind w:firstLine="420"/>
        <w:jc w:val="lef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法定代表人或委托代理人：</w:t>
      </w:r>
      <w:r>
        <w:rPr>
          <w:rFonts w:hint="eastAsia" w:ascii="宋体" w:hAnsi="宋体" w:eastAsia="宋体" w:cs="宋体"/>
          <w:color w:val="auto"/>
          <w:sz w:val="24"/>
          <w:szCs w:val="24"/>
          <w:highlight w:val="none"/>
          <w:lang w:val="zh-TW"/>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eastAsia="zh-TW"/>
        </w:rPr>
        <w:t>法定代表人或委托代理人：</w:t>
      </w:r>
    </w:p>
    <w:p w14:paraId="4CBFA0E1">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eastAsia="zh-TW"/>
        </w:rPr>
        <w:t>（签字或盖章）</w:t>
      </w:r>
      <w:r>
        <w:rPr>
          <w:rFonts w:hint="eastAsia" w:ascii="宋体" w:hAnsi="宋体" w:eastAsia="宋体" w:cs="宋体"/>
          <w:color w:val="auto"/>
          <w:sz w:val="24"/>
          <w:szCs w:val="24"/>
          <w:highlight w:val="none"/>
          <w:lang w:val="zh-TW"/>
        </w:rPr>
        <w:t xml:space="preserve"> </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eastAsia="zh-TW"/>
        </w:rPr>
        <w:t xml:space="preserve"> （签字或盖章）</w:t>
      </w:r>
    </w:p>
    <w:p w14:paraId="4055D1CE">
      <w:pPr>
        <w:widowControl/>
        <w:spacing w:line="360" w:lineRule="auto"/>
        <w:ind w:firstLine="2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rPr>
        <w:t>订立时间：</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年</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月</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日</w:t>
      </w:r>
    </w:p>
    <w:p w14:paraId="1BA324BA">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218D49FA">
      <w:pPr>
        <w:keepNext w:val="0"/>
        <w:keepLines w:val="0"/>
        <w:pageBreakBefore w:val="0"/>
        <w:widowControl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附件2：</w:t>
      </w:r>
    </w:p>
    <w:p w14:paraId="15C9E40C">
      <w:pPr>
        <w:keepNext w:val="0"/>
        <w:keepLines w:val="0"/>
        <w:pageBreakBefore w:val="0"/>
        <w:widowControl w:val="0"/>
        <w:spacing w:line="360" w:lineRule="auto"/>
        <w:ind w:firstLine="0"/>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廉政合同</w:t>
      </w:r>
    </w:p>
    <w:p w14:paraId="40F60B62">
      <w:pPr>
        <w:spacing w:line="360" w:lineRule="auto"/>
        <w:ind w:firstLine="44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工程项目名称：</w:t>
      </w:r>
      <w:r>
        <w:rPr>
          <w:rFonts w:hint="eastAsia" w:ascii="宋体" w:hAnsi="宋体" w:eastAsia="宋体" w:cs="宋体"/>
          <w:color w:val="auto"/>
          <w:sz w:val="24"/>
          <w:szCs w:val="24"/>
          <w:highlight w:val="none"/>
          <w:u w:val="single"/>
          <w:lang w:eastAsia="zh-CN"/>
        </w:rPr>
        <w:t>恒通佳苑消防改造项目</w:t>
      </w:r>
    </w:p>
    <w:p w14:paraId="39882B6B">
      <w:pPr>
        <w:spacing w:line="360" w:lineRule="auto"/>
        <w:ind w:firstLine="420"/>
        <w:jc w:val="lef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工程项目地址：</w:t>
      </w:r>
      <w:r>
        <w:rPr>
          <w:rFonts w:hint="eastAsia" w:ascii="宋体" w:hAnsi="宋体" w:eastAsia="宋体" w:cs="宋体"/>
          <w:color w:val="auto"/>
          <w:sz w:val="24"/>
          <w:szCs w:val="24"/>
          <w:highlight w:val="none"/>
          <w:u w:val="single"/>
          <w:lang w:eastAsia="zh-CN"/>
        </w:rPr>
        <w:t xml:space="preserve">太仓市 </w:t>
      </w:r>
    </w:p>
    <w:p w14:paraId="63F0631C">
      <w:pPr>
        <w:spacing w:line="360" w:lineRule="auto"/>
        <w:ind w:firstLine="440"/>
        <w:jc w:val="lef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发包人：</w:t>
      </w:r>
      <w:r>
        <w:rPr>
          <w:rFonts w:hint="eastAsia" w:ascii="宋体" w:hAnsi="宋体" w:eastAsia="宋体" w:cs="宋体"/>
          <w:color w:val="auto"/>
          <w:sz w:val="24"/>
          <w:szCs w:val="24"/>
          <w:highlight w:val="none"/>
          <w:u w:val="single"/>
          <w:lang w:eastAsia="zh-CN"/>
        </w:rPr>
        <w:t>太仓市人民政府陆渡街道办事处</w:t>
      </w:r>
    </w:p>
    <w:p w14:paraId="17476BEB">
      <w:pPr>
        <w:spacing w:line="360" w:lineRule="auto"/>
        <w:ind w:firstLine="44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w:t>
      </w:r>
      <w:r>
        <w:rPr>
          <w:rFonts w:hint="eastAsia" w:ascii="宋体" w:hAnsi="宋体" w:eastAsia="宋体" w:cs="宋体"/>
          <w:color w:val="auto"/>
          <w:sz w:val="24"/>
          <w:szCs w:val="24"/>
          <w:highlight w:val="none"/>
          <w:u w:val="single"/>
        </w:rPr>
        <w:t xml:space="preserve">                         </w:t>
      </w:r>
    </w:p>
    <w:p w14:paraId="1DCCD89D">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p>
    <w:p w14:paraId="7B3A5688">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第一条双方的责任</w:t>
      </w:r>
    </w:p>
    <w:p w14:paraId="3D047B41">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（一）双方应共同遵守国家和江苏省、苏州市以及行业主管部门关于加强工程建设项目管理以及党风廉政建设的各项规定。</w:t>
      </w:r>
    </w:p>
    <w:p w14:paraId="208B14FF">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（二）双方应严格执行工程建设项目承发包合同文件，自觉按合同办事。</w:t>
      </w:r>
    </w:p>
    <w:p w14:paraId="23C6E71B">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（三）除非法律认定的商业秘密和合同文件另有规定之外，双方的业务活动应坚持公开、公正、透明的原则，严禁损害国家和集体利益、违反工程建设项目管理规章制度的不正当交易。</w:t>
      </w:r>
    </w:p>
    <w:p w14:paraId="0C809681">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（四）双方如发现对方在业务活动中有违规、违纪、违法的行为，应及时提醒对方，情节严重的，应向其上级主管部门或</w:t>
      </w:r>
      <w:r>
        <w:rPr>
          <w:rFonts w:hint="eastAsia" w:ascii="宋体" w:hAnsi="宋体" w:eastAsia="宋体" w:cs="宋体"/>
          <w:color w:val="auto"/>
          <w:sz w:val="24"/>
          <w:szCs w:val="24"/>
          <w:highlight w:val="none"/>
          <w:lang w:val="en-US" w:eastAsia="zh-CN"/>
        </w:rPr>
        <w:t>太仓</w:t>
      </w:r>
      <w:r>
        <w:rPr>
          <w:rFonts w:hint="eastAsia" w:ascii="宋体" w:hAnsi="宋体" w:eastAsia="宋体" w:cs="宋体"/>
          <w:color w:val="auto"/>
          <w:sz w:val="24"/>
          <w:szCs w:val="24"/>
          <w:highlight w:val="none"/>
        </w:rPr>
        <w:t>市纪检监察部门举报。</w:t>
      </w:r>
    </w:p>
    <w:p w14:paraId="3B639285">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第二条发包人的责任</w:t>
      </w:r>
    </w:p>
    <w:p w14:paraId="7232BCA6">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发包人的领导和从事该工程建设项目的工作人员，在工程建设的事前、事中、事后应遵守以下规定：</w:t>
      </w:r>
    </w:p>
    <w:p w14:paraId="2F3A2CCC">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（一）不准向承包人和相关单位索要或接受回扣、礼金、有价证券、贵重物品和好处费等。</w:t>
      </w:r>
    </w:p>
    <w:p w14:paraId="429E78CB">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（二）不准在承包人和相关单位报销任何应由发包人或个人支付的费用。</w:t>
      </w:r>
    </w:p>
    <w:p w14:paraId="258A38B3">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（三）不准要求、暗示或接受承包人和相关单位为个人装修住房、婚丧嫁娶、配偶子女的工作安排以及出国（境）、旅游等提供方便。</w:t>
      </w:r>
    </w:p>
    <w:p w14:paraId="47A9791D">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（四）不准参加有可能影响公正执行公务的承包人和相关单位的宴请、娱乐等活动。</w:t>
      </w:r>
    </w:p>
    <w:p w14:paraId="60F97E3E">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p>
    <w:p w14:paraId="59CA7896">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第三条承包人的责任</w:t>
      </w:r>
    </w:p>
    <w:p w14:paraId="19CE3D35">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承包人应与发包人保持正常的业务交往，按照有关法律法规和程序开展业务工作，严格执行工程建设的有关方针、政策，并遵守以下规定：</w:t>
      </w:r>
    </w:p>
    <w:p w14:paraId="43E2950D">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（一）不准以任何理由向发包人及其工作人员索要、接受或赠送礼金、有价证券、贵重物品及回扣、好处费等。</w:t>
      </w:r>
    </w:p>
    <w:p w14:paraId="25F4105C">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（二）不准以任何理由为发包人和相关单位报销应由对方或个人支付的费用。</w:t>
      </w:r>
    </w:p>
    <w:p w14:paraId="195E3FD6">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（三）不准接受或暗示为发包人、相关单位或个人装修住房、婚丧嫁娶、配偶子女的工作安排以及出国（境）、旅游等提供方便。</w:t>
      </w:r>
    </w:p>
    <w:p w14:paraId="38A794D0">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（四）不准以任何理由为发包人、相关单位或个人组织有可能影响公正执行公务的宴请、娱乐等活动。</w:t>
      </w:r>
    </w:p>
    <w:p w14:paraId="1C224859">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第四条违约责任</w:t>
      </w:r>
    </w:p>
    <w:p w14:paraId="580A3572">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（一）发包人或发包人工作人员有违反本合同第一、二条规定的，按照管理权限，由苏州市纪检监察部门依据有关法律法规给予党纪、政纪处分；涉嫌犯罪的，移交司法机关追究刑事责任。</w:t>
      </w:r>
    </w:p>
    <w:p w14:paraId="0B8AE1E0">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（二）承包人或承包人工作人员有违反本合同第一、三条规定的，按照管理权限，苏州市纪检监察部门将建议相关建设主管部门给与相应的行政处罚；涉嫌犯罪的，移交司法机关追究刑事责任。</w:t>
      </w:r>
    </w:p>
    <w:p w14:paraId="69D52EF4">
      <w:pPr>
        <w:spacing w:line="360" w:lineRule="auto"/>
        <w:ind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第五条本合同书作为工程建设项目施工合同的附件，与工程建设项目施工合同具有同等法律效力。经双方签署后立即生效。</w:t>
      </w:r>
    </w:p>
    <w:p w14:paraId="5449BC51">
      <w:pPr>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第六条本合同书份数同主合同。</w:t>
      </w:r>
    </w:p>
    <w:p w14:paraId="7DE03275">
      <w:pPr>
        <w:rPr>
          <w:rFonts w:hint="eastAsia" w:ascii="宋体" w:hAnsi="宋体" w:eastAsia="宋体" w:cs="宋体"/>
          <w:color w:val="auto"/>
          <w:sz w:val="24"/>
          <w:szCs w:val="24"/>
          <w:highlight w:val="none"/>
        </w:rPr>
      </w:pPr>
    </w:p>
    <w:p w14:paraId="2504C2B2">
      <w:pPr>
        <w:rPr>
          <w:rFonts w:hint="eastAsia" w:ascii="宋体" w:hAnsi="宋体" w:eastAsia="宋体" w:cs="宋体"/>
          <w:color w:val="auto"/>
          <w:sz w:val="24"/>
          <w:szCs w:val="24"/>
          <w:highlight w:val="none"/>
        </w:rPr>
      </w:pPr>
    </w:p>
    <w:p w14:paraId="25D08175">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发包人：（公章或合同章）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rPr>
        <w:t>承包人：（公章或合同章）</w:t>
      </w:r>
    </w:p>
    <w:p w14:paraId="527331FA">
      <w:pPr>
        <w:widowControl/>
        <w:spacing w:line="360" w:lineRule="auto"/>
        <w:ind w:firstLine="420"/>
        <w:jc w:val="lef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法定代表人或委托代理人：</w:t>
      </w:r>
      <w:r>
        <w:rPr>
          <w:rFonts w:hint="eastAsia" w:ascii="宋体" w:hAnsi="宋体" w:eastAsia="宋体" w:cs="宋体"/>
          <w:color w:val="auto"/>
          <w:sz w:val="24"/>
          <w:szCs w:val="24"/>
          <w:highlight w:val="none"/>
          <w:lang w:val="zh-TW"/>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eastAsia="zh-TW"/>
        </w:rPr>
        <w:t>法定代表人或委托代理人：</w:t>
      </w:r>
    </w:p>
    <w:p w14:paraId="19FF6342">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eastAsia="zh-TW"/>
        </w:rPr>
        <w:t>（签字或盖章）</w:t>
      </w:r>
      <w:r>
        <w:rPr>
          <w:rFonts w:hint="eastAsia" w:ascii="宋体" w:hAnsi="宋体" w:eastAsia="宋体" w:cs="宋体"/>
          <w:color w:val="auto"/>
          <w:sz w:val="24"/>
          <w:szCs w:val="24"/>
          <w:highlight w:val="none"/>
          <w:lang w:val="zh-TW"/>
        </w:rPr>
        <w:t xml:space="preserve"> </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eastAsia="zh-TW"/>
        </w:rPr>
        <w:t xml:space="preserve"> （签字或盖章）</w:t>
      </w:r>
    </w:p>
    <w:p w14:paraId="7A2B1C5B">
      <w:pPr>
        <w:widowControl/>
        <w:spacing w:line="360" w:lineRule="auto"/>
        <w:ind w:firstLine="2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rPr>
        <w:t>订立时间：</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年</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月</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日</w:t>
      </w:r>
    </w:p>
    <w:p w14:paraId="1C75EC5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3F6449B5">
      <w:pPr>
        <w:keepNext w:val="0"/>
        <w:keepLines w:val="0"/>
        <w:pageBreakBefore w:val="0"/>
        <w:widowControl w:val="0"/>
        <w:spacing w:line="360" w:lineRule="auto"/>
        <w:outlineLvl w:val="0"/>
        <w:rPr>
          <w:rFonts w:hint="eastAsia" w:ascii="宋体" w:hAnsi="宋体" w:eastAsia="宋体" w:cs="宋体"/>
          <w:b/>
          <w:bCs/>
          <w:color w:val="auto"/>
          <w:sz w:val="28"/>
          <w:szCs w:val="28"/>
          <w:highlight w:val="none"/>
        </w:rPr>
      </w:pPr>
      <w:bookmarkStart w:id="34" w:name="_Toc40800907"/>
      <w:bookmarkStart w:id="35" w:name="_Toc511743347"/>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t>：</w:t>
      </w:r>
      <w:bookmarkEnd w:id="34"/>
      <w:bookmarkStart w:id="36" w:name="_Toc40800908"/>
    </w:p>
    <w:p w14:paraId="786F9574">
      <w:pPr>
        <w:keepNext w:val="0"/>
        <w:keepLines w:val="0"/>
        <w:pageBreakBefore w:val="0"/>
        <w:widowControl w:val="0"/>
        <w:spacing w:line="360" w:lineRule="auto"/>
        <w:ind w:firstLine="0"/>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建设工程安全管理协议</w:t>
      </w:r>
      <w:bookmarkEnd w:id="35"/>
      <w:bookmarkEnd w:id="36"/>
    </w:p>
    <w:p w14:paraId="6B91F7C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szCs w:val="24"/>
          <w:highlight w:val="none"/>
          <w:u w:val="single"/>
          <w:lang w:eastAsia="zh-CN"/>
        </w:rPr>
        <w:t>太仓市人民政府陆渡街道办事处</w:t>
      </w:r>
    </w:p>
    <w:p w14:paraId="78A7301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F4C8CA5">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发包人将项目工程总承包发包给承包人，为贯彻“安全第一、预防为主”的方针，根据《太仓市招标、承包工程安全管理暂行规定》、《太仓市安全生产管理条例》和国家有关法规，明确双方的安全生产责任，确保施工安全，双方在签订工程施工总承包合同的同时，签订本协议。</w:t>
      </w:r>
    </w:p>
    <w:p w14:paraId="36ADF2E6">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1.发包人、承包人双方必须认真贯彻国家、太仓市和上级劳动保护、安全生产主管部门颁发的有关安全生产、消防工作的方针、政策、严格执行有关劳动保护法规、条例、规定。</w:t>
      </w:r>
    </w:p>
    <w:p w14:paraId="603C8788">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2.承包人应有安全管理组织体制，包括抓安全生产的领导，各级专职和兼职的安全干部，应有各工种的安全操作规程，特种作业人员的审证考核制度及各级安全生产岗位责任制，定期安全检查制度和安全教育制度等。</w:t>
      </w:r>
    </w:p>
    <w:p w14:paraId="28898C6F">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3.承包人在施工前要认真勘察现场：</w:t>
      </w:r>
    </w:p>
    <w:p w14:paraId="67245266">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⑴工程项目应由承包人编制施工组织总设计；</w:t>
      </w:r>
    </w:p>
    <w:p w14:paraId="15852978">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⑵工程项目由承包人按发包人的要求自行编制施工组织设计。</w:t>
      </w:r>
    </w:p>
    <w:p w14:paraId="418D6A61">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以上必须制定有针对性的安全技术措施计划，严格按施工组织设计和有关安全要求施工。</w:t>
      </w:r>
    </w:p>
    <w:p w14:paraId="3A74CB90">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4.发包人、承包人双方的有关领导必须认真对本单位职工进行安全生产制度及安全技术知识教育，增强法制观念，提高职工的安全生产思想意识和自我保护的能力，督促职工自觉遵守安全生产纪律、制度和法规。</w:t>
      </w:r>
    </w:p>
    <w:p w14:paraId="1D57E7F2">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5.施工前，发包人应对本单位及分包单位的管理、施工人员进行安全生产进场教育，介绍有关安全生产管理制度、规定和要求；承包人应组织召开管理、施工人员安全生产教育会议，并通知、委托有关人员出席会议，介绍施工中有关安全、防火等规章制度及要求；承包人必须检查，督促施工人员严格遵守、认真执行。</w:t>
      </w:r>
    </w:p>
    <w:p w14:paraId="14905FFF">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根据工程项目内容、特点，发包人、承包人双方应做好技术交底，并有交底的书面材料，交底材料一式二份，由发包人、承包人双方各执一份。</w:t>
      </w:r>
    </w:p>
    <w:p w14:paraId="73BBF7FA">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6.施工期间，承包人指派同志负责本工程项目的有关安全、消防工作；发包人指派</w:t>
      </w:r>
      <w:r>
        <w:rPr>
          <w:rFonts w:hint="eastAsia" w:ascii="宋体" w:hAnsi="宋体" w:eastAsia="宋体" w:cs="宋体"/>
          <w:color w:val="auto"/>
          <w:sz w:val="24"/>
          <w:szCs w:val="24"/>
          <w:highlight w:val="none"/>
          <w:u w:val="single"/>
          <w:lang w:val="zh-TW" w:eastAsia="zh-TW"/>
        </w:rPr>
        <w:t>X X X</w:t>
      </w:r>
      <w:r>
        <w:rPr>
          <w:rFonts w:hint="eastAsia" w:ascii="宋体" w:hAnsi="宋体" w:eastAsia="宋体" w:cs="宋体"/>
          <w:color w:val="auto"/>
          <w:sz w:val="24"/>
          <w:szCs w:val="24"/>
          <w:highlight w:val="none"/>
          <w:lang w:val="zh-TW"/>
        </w:rPr>
        <w:t>同志负责联系，检查督促承包人执行有关安全、防火规定，发包人、承包人双方应经常联系，相互协助检查和处理工程施工有关的安全、防火工作，共同预防事故的发生。</w:t>
      </w:r>
    </w:p>
    <w:p w14:paraId="73372CC2">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7.承包人在施工期间必须严格执行和遵守发包人的安全生产、防火管理的各项规定，接受发包人的督促、检察和指导。发包人有协助承包人搞好安全生产、防火管理以及督促检查的义务。对于查出的隐患，承包人必须按期限整改。对发包人违反安全生产规定、制度等情况，承包人有要求发包人整改的权利，发包人应该认真整改。</w:t>
      </w:r>
    </w:p>
    <w:p w14:paraId="1B6A1BF6">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8.在生产操作过程中的个人防护用品，由各方自理，发包人、承包人都应督促现场管理人员和施工人员自觉穿戴好防护用品。</w:t>
      </w:r>
    </w:p>
    <w:p w14:paraId="18D9EA01">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9.承包人必须认真检查所在的施工区域、作业环境、操作设施设备、工具用具等。发现隐患，立即停止施工，并由有关单位落实整改后方准施工。一经施工，就表示该施工单位确认施工场所、作业环境、设施设备、工具用具等符合安全要求和处于安全状态，承包人对施工过程中由于上述因素不良而导致的事故后果负责。</w:t>
      </w:r>
    </w:p>
    <w:p w14:paraId="6C95D421">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11.承包人在施工期间所使用的各种设备以及工具等均应由承包人自备。如承包人必须借用和租用，应办理借用或租赁手续，制定有关安全使用和管理制度。承包人必须对借用或租用设备进行检验，并做好书面记录，负责设备和工具的保管和维修，并严格执行安全操作规程。在使用过程中，用于设备、工具因素或使用操作不当而造成伤亡事故，由承包人负责。</w:t>
      </w:r>
    </w:p>
    <w:p w14:paraId="14DA29AE">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12.发包人、承包人双方的人员，对施工的现场脚手架、各类安全防护设施、安全标志和警告牌，不得擅自拆除、更动。如确实需要拆除更动的，必须经工地施工负责人和发包人、承包人指派的安全管理人员的同意，并采取必要、可靠的安全措施后方能拆除。任何一方人员，擅自拆除所造成的后果，均由该方人员及其单位负责。</w:t>
      </w:r>
    </w:p>
    <w:p w14:paraId="5242DF23">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13.特种作业必须执行国家《特种作业人员安全技术培训考核管理规定》，经省、市、地区的特种作业安全技术考核站培训后持证上岗，并按规定定期审证。进太仓施工的外省市特种作业人员还须经太仓市有关特种作业考核站进行审证教育。中、小型机械的操作人员必须按规定做到“定机定人”和有证操作：起重吊装作业人员必须遵守“十不吊”规定，严禁违章、无证操作；严禁不懂电器、机械设备的人，擅自操作使用电器、机械设备。</w:t>
      </w:r>
    </w:p>
    <w:p w14:paraId="36D095FE">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14.发包人、承包人双方必须严格执行各类防火防爆制度，易燃易爆场所严禁吸烟及动用明火，消防器材不准挪作他用。电焊、气焊作业应按规定办理动火审批手续，严格遵守“十不烧”规定，严禁使用电炉。冬季施工如必须采用明火加热的防冻措施时，应取得防火主管人员同意，落实防火、防中毒措施，并指派专人值班。</w:t>
      </w:r>
    </w:p>
    <w:p w14:paraId="3646C893">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15.承包人需用发包人提供的电器设备，在使用前应先进行检测，并做好检测记录，如不符合安全规定的应及时向发包人提出，发包人应积极整改，整改合格后方准使用。违反本规定或不经发包人许可，擅自乱拉电气线路造成后果均由肇事者单位负责。</w:t>
      </w:r>
    </w:p>
    <w:p w14:paraId="65B0D84C">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16.贯彻先订合同后施工的原则。任何属于工程总承包范围内的工程项目，发包人均可以安排承包人实施，对此，承包人不得拒绝。</w:t>
      </w:r>
    </w:p>
    <w:p w14:paraId="31E96481">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17.承包人在施工中，应注意地下管线及高压架空线路的保护。发包人对地下管线和障碍物应详细交底，承包人应贯彻交底要求，如遇有情况，应及时向发包人和有关部门联系，采取保护措施。</w:t>
      </w:r>
    </w:p>
    <w:p w14:paraId="167C932D">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18.承包人在签订工程施工合同后，应自觉地向所在地劳动行政等有关部门办理太仓市建设工程开工安全受监报告手续。</w:t>
      </w:r>
    </w:p>
    <w:p w14:paraId="200FC273">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19.贯彻谁施工谁负责安全的原则。发包人、承包人人员在施工期间造成伤亡、火警、火灾、机械等重大事故（包括发包人、承包人责任造成对方人员、他方人员、行人伤亡等），双方应协力进行紧急抢救伤员和保护现场，按国务院及太仓市有关事故报告规定在事故发生后的二十四小时内及时报告各自的上级主管部门及所在地劳动行政部门等有关机构。事故的损失和善后处理费用，应按责任，协商解决。</w:t>
      </w:r>
    </w:p>
    <w:p w14:paraId="1A16AF4A">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20.其他未尽事宜：无。</w:t>
      </w:r>
    </w:p>
    <w:p w14:paraId="282CFA02">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21.本协议订立的各项规定使用于立协单位双方，如遇有国家和太仓市的有关法规不符者按国家和太仓市的有关规定执行。</w:t>
      </w:r>
    </w:p>
    <w:p w14:paraId="7E7A57FA">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22.本协议作为项目工程总承包合同的附件，在工程总承包合同签约后生效，并具有同等法律效力，双方认为有必要的，可送区（县）行政部门等有关机构备案。工程总承包合同期满，本协议终止。</w:t>
      </w:r>
    </w:p>
    <w:p w14:paraId="10F5B6AC">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23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TW"/>
        </w:rPr>
        <w:t>发包人、承包人双方必须严格执行本协议，由于违反本协议而造成伤亡事故，由违约方承担一切经济损失。</w:t>
      </w:r>
    </w:p>
    <w:p w14:paraId="526BA511">
      <w:pPr>
        <w:widowControl/>
        <w:spacing w:line="360" w:lineRule="auto"/>
        <w:ind w:firstLine="420"/>
        <w:jc w:val="left"/>
        <w:rPr>
          <w:rFonts w:hint="eastAsia" w:ascii="宋体" w:hAnsi="宋体" w:eastAsia="宋体" w:cs="宋体"/>
          <w:color w:val="auto"/>
          <w:sz w:val="24"/>
          <w:szCs w:val="24"/>
          <w:highlight w:val="none"/>
          <w:lang w:val="zh-TW"/>
        </w:rPr>
      </w:pPr>
    </w:p>
    <w:p w14:paraId="4F5EE4C8">
      <w:pPr>
        <w:widowControl/>
        <w:spacing w:line="360" w:lineRule="auto"/>
        <w:ind w:firstLine="420"/>
        <w:jc w:val="left"/>
        <w:rPr>
          <w:rFonts w:hint="eastAsia" w:ascii="宋体" w:hAnsi="宋体" w:eastAsia="宋体" w:cs="宋体"/>
          <w:color w:val="auto"/>
          <w:sz w:val="24"/>
          <w:szCs w:val="24"/>
          <w:highlight w:val="none"/>
          <w:lang w:val="zh-TW"/>
        </w:rPr>
      </w:pPr>
    </w:p>
    <w:p w14:paraId="78B11D95">
      <w:pPr>
        <w:widowControl/>
        <w:spacing w:line="360" w:lineRule="auto"/>
        <w:ind w:firstLine="420"/>
        <w:jc w:val="left"/>
        <w:rPr>
          <w:rFonts w:hint="eastAsia" w:ascii="宋体" w:hAnsi="宋体" w:eastAsia="宋体" w:cs="宋体"/>
          <w:color w:val="auto"/>
          <w:sz w:val="24"/>
          <w:szCs w:val="24"/>
          <w:highlight w:val="none"/>
          <w:lang w:val="zh-TW"/>
        </w:rPr>
      </w:pPr>
      <w:bookmarkStart w:id="37" w:name="_Toc511743348"/>
      <w:bookmarkStart w:id="38" w:name="_Toc447888442"/>
      <w:bookmarkStart w:id="39" w:name="_Toc508633264"/>
      <w:r>
        <w:rPr>
          <w:rFonts w:hint="eastAsia" w:ascii="宋体" w:hAnsi="宋体" w:eastAsia="宋体" w:cs="宋体"/>
          <w:color w:val="auto"/>
          <w:sz w:val="24"/>
          <w:szCs w:val="24"/>
          <w:highlight w:val="none"/>
          <w:lang w:val="zh-TW"/>
        </w:rPr>
        <w:t xml:space="preserve">发包人：（公章或合同章）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rPr>
        <w:t>承包人：（公章或合同章）</w:t>
      </w:r>
    </w:p>
    <w:p w14:paraId="3BA845E2">
      <w:pPr>
        <w:widowControl/>
        <w:spacing w:line="360" w:lineRule="auto"/>
        <w:ind w:firstLine="420"/>
        <w:jc w:val="lef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法定代表人或委托代理人：</w:t>
      </w:r>
      <w:r>
        <w:rPr>
          <w:rFonts w:hint="eastAsia" w:ascii="宋体" w:hAnsi="宋体" w:eastAsia="宋体" w:cs="宋体"/>
          <w:color w:val="auto"/>
          <w:sz w:val="24"/>
          <w:szCs w:val="24"/>
          <w:highlight w:val="none"/>
          <w:lang w:val="zh-TW"/>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eastAsia="zh-TW"/>
        </w:rPr>
        <w:t>法定代表人或委托代理人：</w:t>
      </w:r>
    </w:p>
    <w:p w14:paraId="09682D39">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eastAsia="zh-TW"/>
        </w:rPr>
        <w:t>（签字或盖章）</w:t>
      </w:r>
      <w:r>
        <w:rPr>
          <w:rFonts w:hint="eastAsia" w:ascii="宋体" w:hAnsi="宋体" w:eastAsia="宋体" w:cs="宋体"/>
          <w:color w:val="auto"/>
          <w:sz w:val="24"/>
          <w:szCs w:val="24"/>
          <w:highlight w:val="none"/>
          <w:lang w:val="zh-TW"/>
        </w:rPr>
        <w:t xml:space="preserve"> </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eastAsia="zh-TW"/>
        </w:rPr>
        <w:t xml:space="preserve"> （签字或盖章）</w:t>
      </w:r>
    </w:p>
    <w:p w14:paraId="3CD925D2">
      <w:pPr>
        <w:widowControl/>
        <w:spacing w:line="360" w:lineRule="auto"/>
        <w:ind w:firstLine="2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rPr>
        <w:t>订立时间：</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年</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月</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日</w:t>
      </w:r>
    </w:p>
    <w:p w14:paraId="3FFC5111">
      <w:pPr>
        <w:spacing w:line="360" w:lineRule="auto"/>
        <w:ind w:firstLine="420"/>
        <w:jc w:val="right"/>
        <w:rPr>
          <w:rFonts w:hint="eastAsia" w:ascii="宋体" w:hAnsi="宋体" w:eastAsia="宋体" w:cs="宋体"/>
          <w:color w:val="auto"/>
          <w:sz w:val="22"/>
          <w:szCs w:val="24"/>
          <w:highlight w:val="none"/>
          <w:lang w:val="zh-TW"/>
        </w:rPr>
      </w:pPr>
    </w:p>
    <w:p w14:paraId="497A7140">
      <w:pPr>
        <w:widowControl w:val="0"/>
        <w:jc w:val="both"/>
        <w:rPr>
          <w:rFonts w:hint="eastAsia" w:ascii="宋体" w:hAnsi="宋体" w:eastAsia="宋体" w:cs="宋体"/>
          <w:color w:val="auto"/>
          <w:sz w:val="26"/>
          <w:szCs w:val="24"/>
          <w:highlight w:val="none"/>
          <w:lang w:val="en-US" w:eastAsia="zh-CN" w:bidi="ar-SA"/>
        </w:rPr>
      </w:pPr>
    </w:p>
    <w:p w14:paraId="61674D91">
      <w:pPr>
        <w:rPr>
          <w:rFonts w:hint="eastAsia" w:ascii="宋体" w:hAnsi="宋体" w:eastAsia="宋体" w:cs="宋体"/>
          <w:b/>
          <w:bCs/>
          <w:color w:val="auto"/>
          <w:sz w:val="21"/>
          <w:szCs w:val="21"/>
          <w:highlight w:val="none"/>
        </w:rPr>
      </w:pPr>
      <w:bookmarkStart w:id="40" w:name="_Toc40800909"/>
      <w:r>
        <w:rPr>
          <w:rFonts w:hint="eastAsia" w:ascii="宋体" w:hAnsi="宋体" w:eastAsia="宋体" w:cs="宋体"/>
          <w:b/>
          <w:bCs/>
          <w:color w:val="auto"/>
          <w:sz w:val="21"/>
          <w:szCs w:val="21"/>
          <w:highlight w:val="none"/>
        </w:rPr>
        <w:br w:type="page" w:clear="all"/>
      </w:r>
    </w:p>
    <w:p w14:paraId="736EC5D2">
      <w:pPr>
        <w:keepNext w:val="0"/>
        <w:keepLines w:val="0"/>
        <w:pageBreakBefore w:val="0"/>
        <w:widowControl w:val="0"/>
        <w:spacing w:line="360" w:lineRule="auto"/>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4</w:t>
      </w:r>
      <w:r>
        <w:rPr>
          <w:rFonts w:hint="eastAsia" w:ascii="宋体" w:hAnsi="宋体" w:eastAsia="宋体" w:cs="宋体"/>
          <w:b/>
          <w:bCs/>
          <w:color w:val="auto"/>
          <w:sz w:val="28"/>
          <w:szCs w:val="28"/>
          <w:highlight w:val="none"/>
        </w:rPr>
        <w:t>：</w:t>
      </w:r>
      <w:bookmarkEnd w:id="40"/>
    </w:p>
    <w:p w14:paraId="4037BD46">
      <w:pPr>
        <w:keepNext w:val="0"/>
        <w:keepLines w:val="0"/>
        <w:pageBreakBefore w:val="0"/>
        <w:widowControl w:val="0"/>
        <w:spacing w:line="360" w:lineRule="auto"/>
        <w:jc w:val="center"/>
        <w:outlineLvl w:val="1"/>
        <w:rPr>
          <w:rFonts w:hint="eastAsia" w:ascii="宋体" w:hAnsi="宋体" w:eastAsia="宋体" w:cs="宋体"/>
          <w:b/>
          <w:color w:val="auto"/>
          <w:sz w:val="32"/>
          <w:szCs w:val="32"/>
          <w:highlight w:val="none"/>
        </w:rPr>
      </w:pPr>
      <w:bookmarkStart w:id="41" w:name="_Toc40800910"/>
      <w:r>
        <w:rPr>
          <w:rFonts w:hint="eastAsia" w:ascii="宋体" w:hAnsi="宋体" w:eastAsia="宋体" w:cs="宋体"/>
          <w:b/>
          <w:color w:val="auto"/>
          <w:sz w:val="32"/>
          <w:szCs w:val="32"/>
          <w:highlight w:val="none"/>
        </w:rPr>
        <w:t>文明施工责任协议书</w:t>
      </w:r>
      <w:bookmarkEnd w:id="37"/>
      <w:bookmarkEnd w:id="38"/>
      <w:bookmarkEnd w:id="39"/>
      <w:bookmarkEnd w:id="41"/>
    </w:p>
    <w:p w14:paraId="25A8F2ED">
      <w:pPr>
        <w:spacing w:line="360" w:lineRule="auto"/>
        <w:ind w:firstLine="42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szCs w:val="24"/>
          <w:highlight w:val="none"/>
          <w:u w:val="single"/>
          <w:lang w:eastAsia="zh-CN"/>
        </w:rPr>
        <w:t>太仓市人民政府陆渡街道办事处</w:t>
      </w:r>
      <w:r>
        <w:rPr>
          <w:rFonts w:hint="eastAsia" w:ascii="宋体" w:hAnsi="宋体" w:eastAsia="宋体" w:cs="宋体"/>
          <w:color w:val="auto"/>
          <w:sz w:val="24"/>
          <w:szCs w:val="24"/>
          <w:highlight w:val="none"/>
          <w:u w:val="single"/>
          <w:lang w:val="en-US" w:eastAsia="zh-CN"/>
        </w:rPr>
        <w:t xml:space="preserve">  </w:t>
      </w:r>
    </w:p>
    <w:p w14:paraId="76112FB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54E84DC7">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为贯彻执行建设部《建设工程施工现场管理规定》和《太仓市建设工程文明施工管理规定》，认真做好项目工程总承包建设施工区域内的文明施工，现经发包人、承包人双方协商同意，明确在文明施工和文明施工管理中的各自职责，并签订如下协议：</w:t>
      </w:r>
    </w:p>
    <w:p w14:paraId="0FAD8093">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1.双方同意在工程管理和工程建设中必须坚持社会效益第一，经济效益和社会效益相一致，“方便甲乙双方现场派驻人员工作生活，维护正常工作秩序，保护生态环境”的原则，搞好工程建设中的文明施工。</w:t>
      </w:r>
    </w:p>
    <w:p w14:paraId="63C0C6A5">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2.双方要认真贯彻“发包人负责，承包人实施，地方政府监督”的文明施工原则。现场由承包人牵头，建立各方共同参与的文明施工管理小组，负责日常管理协调工作，争创文明工地。发包人按市有关创建文明工地的规定，开展指导、检查等工作，创建活动的实施由承包人负责。</w:t>
      </w:r>
    </w:p>
    <w:p w14:paraId="095C65E5">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3.承包人在其施工组织设计中应结合工程实际情况，制订出各项文明施工措施，并落实如下有关要求：</w:t>
      </w:r>
    </w:p>
    <w:p w14:paraId="1B338C23">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⑴施工现场所有管理、作业人员应佩带胸卡上岗。</w:t>
      </w:r>
    </w:p>
    <w:p w14:paraId="6748B490">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⑵施工区域与非施工区域必须按规定设置分隔设施，并做到连续、稳固、整洁、美观和线型和顺。施工区域的围护设施如有损坏要及时修复。</w:t>
      </w:r>
    </w:p>
    <w:p w14:paraId="6F21FD08">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⑷要落实切实可行的施工临时排水和防汛措施，禁止向通道上排放，禁止泥浆水、水泥浆水未经沉淀直接排入下水道。如遇台风、暴雨季节要派人值班，确保安全。</w:t>
      </w:r>
    </w:p>
    <w:p w14:paraId="07916B83">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⑸施工现场平面布置合理，各类材料、设备、预制构件（包括土方）做到有序堆放，不得侵占非发包人指定场地。施工中要加强对各种管线的保护。</w:t>
      </w:r>
    </w:p>
    <w:p w14:paraId="68A97B93">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⑹施工中必须要采取有效措施防止渣土洒落，泥浆、废水流溢，控制粉尘飞扬，减少施工对周围环境的污染，严格控制噪音。</w:t>
      </w:r>
    </w:p>
    <w:p w14:paraId="6257D5D6">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⑺如需夜间（22:00以后）作业，承包人必须办理夜间施工许可证。如未办理有关手续造成恶劣后果或被举报处罚的，承包人向发包人每次赔偿人民币5000元，上不封顶。</w:t>
      </w:r>
    </w:p>
    <w:p w14:paraId="3E314071">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4.承包人负责施工区域及生活区域的环境卫生，建立完善有关规章制度，落实责任制；做到“五小”生活设施齐全，符合规范要求；不养狗、猫等动物，不养鸡、鸭等家禽；搞好饮食卫生，杜绝食物中毒。</w:t>
      </w:r>
    </w:p>
    <w:p w14:paraId="20AB21F9">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5.发包人对承包人开展创建文明工地的工作给予指导，定期组织检查，对承包人存在的问题应及时通知承包人进行整改。凡承包人整改不力，逾期不改的，承包人向发包人每次赔偿人民币5000元，上不封顶。同时，发包人可采取强化整改措施。如承包人未按要求限期整改的或整改不力造成后果的，承包人向发包人每次赔偿20000元，上不封顶。</w:t>
      </w:r>
    </w:p>
    <w:p w14:paraId="408A5802">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6.本协议约定的承包人赔偿金及整改所发生的费用，由发包人书面通知承包人，并从尚未支付给承包人的工程款中扣除。</w:t>
      </w:r>
    </w:p>
    <w:p w14:paraId="20B38890">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7.因承包人违反文明施工管理要求，被地方政府有关部门查获而受到的经济处罚，以及由此而使发包人受到的经济损失，均由承包人承担。</w:t>
      </w:r>
    </w:p>
    <w:p w14:paraId="6DC65597">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8.本协议作为项目工程总承包合同的附件，在工程总承包合同签约后生效，与工程总承包合同具有同等法律效力。工程总承包合同期满，本协议终止。</w:t>
      </w:r>
    </w:p>
    <w:p w14:paraId="5DECA2A4">
      <w:pPr>
        <w:widowControl/>
        <w:spacing w:line="360" w:lineRule="auto"/>
        <w:ind w:firstLine="420"/>
        <w:jc w:val="left"/>
        <w:rPr>
          <w:rFonts w:hint="eastAsia" w:ascii="宋体" w:hAnsi="宋体" w:eastAsia="宋体" w:cs="宋体"/>
          <w:color w:val="auto"/>
          <w:sz w:val="24"/>
          <w:szCs w:val="24"/>
          <w:highlight w:val="none"/>
          <w:lang w:val="zh-TW"/>
        </w:rPr>
      </w:pPr>
    </w:p>
    <w:p w14:paraId="3F33A164">
      <w:pPr>
        <w:widowControl/>
        <w:spacing w:line="360" w:lineRule="auto"/>
        <w:ind w:firstLine="420"/>
        <w:jc w:val="left"/>
        <w:rPr>
          <w:rFonts w:hint="eastAsia" w:ascii="宋体" w:hAnsi="宋体" w:eastAsia="宋体" w:cs="宋体"/>
          <w:color w:val="auto"/>
          <w:sz w:val="24"/>
          <w:szCs w:val="24"/>
          <w:highlight w:val="none"/>
          <w:lang w:val="zh-TW"/>
        </w:rPr>
      </w:pPr>
    </w:p>
    <w:p w14:paraId="6B94F984">
      <w:pPr>
        <w:widowControl/>
        <w:spacing w:line="360" w:lineRule="auto"/>
        <w:ind w:firstLine="420"/>
        <w:jc w:val="left"/>
        <w:rPr>
          <w:rFonts w:hint="eastAsia" w:ascii="宋体" w:hAnsi="宋体" w:eastAsia="宋体" w:cs="宋体"/>
          <w:color w:val="auto"/>
          <w:sz w:val="24"/>
          <w:szCs w:val="24"/>
          <w:highlight w:val="none"/>
          <w:lang w:val="zh-TW"/>
        </w:rPr>
      </w:pPr>
    </w:p>
    <w:p w14:paraId="223A3A53">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发包人：（公章或合同章）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rPr>
        <w:t>承包人：（公章或合同章）</w:t>
      </w:r>
    </w:p>
    <w:p w14:paraId="5C5D4688">
      <w:pPr>
        <w:widowControl/>
        <w:spacing w:line="360" w:lineRule="auto"/>
        <w:ind w:firstLine="420"/>
        <w:jc w:val="lef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法定代表人或委托代理人：</w:t>
      </w:r>
      <w:r>
        <w:rPr>
          <w:rFonts w:hint="eastAsia" w:ascii="宋体" w:hAnsi="宋体" w:eastAsia="宋体" w:cs="宋体"/>
          <w:color w:val="auto"/>
          <w:sz w:val="24"/>
          <w:szCs w:val="24"/>
          <w:highlight w:val="none"/>
          <w:lang w:val="zh-TW"/>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eastAsia="zh-TW"/>
        </w:rPr>
        <w:t>法定代表人或委托代理人：</w:t>
      </w:r>
    </w:p>
    <w:p w14:paraId="383DBC40">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eastAsia="zh-TW"/>
        </w:rPr>
        <w:t>（签字或盖章）</w:t>
      </w:r>
      <w:r>
        <w:rPr>
          <w:rFonts w:hint="eastAsia" w:ascii="宋体" w:hAnsi="宋体" w:eastAsia="宋体" w:cs="宋体"/>
          <w:color w:val="auto"/>
          <w:sz w:val="24"/>
          <w:szCs w:val="24"/>
          <w:highlight w:val="none"/>
          <w:lang w:val="zh-TW"/>
        </w:rPr>
        <w:t xml:space="preserve"> </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eastAsia="zh-TW"/>
        </w:rPr>
        <w:t xml:space="preserve"> （签字或盖章）</w:t>
      </w:r>
    </w:p>
    <w:p w14:paraId="55C58C92">
      <w:pPr>
        <w:widowControl/>
        <w:spacing w:line="360" w:lineRule="auto"/>
        <w:ind w:firstLine="2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rPr>
        <w:t>订立时间：</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年</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月</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日</w:t>
      </w:r>
    </w:p>
    <w:p w14:paraId="064DCC6B">
      <w:pPr>
        <w:keepNext w:val="0"/>
        <w:keepLines w:val="0"/>
        <w:pageBreakBefore w:val="0"/>
        <w:widowControl w:val="0"/>
        <w:spacing w:line="360" w:lineRule="auto"/>
        <w:outlineLvl w:val="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br w:type="page" w:clear="all"/>
      </w:r>
      <w:bookmarkStart w:id="42" w:name="_Toc447888443"/>
      <w:bookmarkStart w:id="43" w:name="_Toc511743349"/>
      <w:bookmarkStart w:id="44" w:name="_Toc508633265"/>
      <w:bookmarkStart w:id="45" w:name="_Toc40800911"/>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5</w:t>
      </w:r>
      <w:r>
        <w:rPr>
          <w:rFonts w:hint="eastAsia" w:ascii="宋体" w:hAnsi="宋体" w:eastAsia="宋体" w:cs="宋体"/>
          <w:b/>
          <w:bCs/>
          <w:color w:val="auto"/>
          <w:sz w:val="28"/>
          <w:szCs w:val="28"/>
          <w:highlight w:val="none"/>
        </w:rPr>
        <w:t>：</w:t>
      </w:r>
    </w:p>
    <w:p w14:paraId="6656FB7C">
      <w:pPr>
        <w:spacing w:line="360" w:lineRule="auto"/>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治安、防火协议书</w:t>
      </w:r>
      <w:bookmarkEnd w:id="42"/>
      <w:bookmarkEnd w:id="43"/>
      <w:bookmarkEnd w:id="44"/>
      <w:bookmarkEnd w:id="45"/>
    </w:p>
    <w:p w14:paraId="7826AB35">
      <w:pPr>
        <w:spacing w:line="360" w:lineRule="auto"/>
        <w:ind w:firstLine="42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szCs w:val="24"/>
          <w:highlight w:val="none"/>
          <w:u w:val="single"/>
          <w:lang w:eastAsia="zh-CN"/>
        </w:rPr>
        <w:t>太仓市人民政府陆渡街道办事处</w:t>
      </w:r>
      <w:r>
        <w:rPr>
          <w:rFonts w:hint="eastAsia" w:ascii="宋体" w:hAnsi="宋体" w:eastAsia="宋体" w:cs="宋体"/>
          <w:color w:val="auto"/>
          <w:sz w:val="24"/>
          <w:szCs w:val="24"/>
          <w:highlight w:val="none"/>
          <w:u w:val="single"/>
          <w:lang w:val="en-US" w:eastAsia="zh-CN"/>
        </w:rPr>
        <w:t xml:space="preserve">  </w:t>
      </w:r>
    </w:p>
    <w:p w14:paraId="6B128ED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5D57B7A3">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为切实搞好工程建设中的治安、防火工作，确保施工场地的治安稳定和防火安全，现根据《太仓市社会治安防范责任条例》之规定，经发包人、承包人双方协商，明确双方在治安防范、防火安全方面的权利和义务：</w:t>
      </w:r>
    </w:p>
    <w:p w14:paraId="71C861A8">
      <w:pPr>
        <w:widowControl/>
        <w:spacing w:line="360" w:lineRule="auto"/>
        <w:ind w:firstLine="472"/>
        <w:jc w:val="left"/>
        <w:outlineLvl w:val="1"/>
        <w:rPr>
          <w:rFonts w:hint="eastAsia" w:ascii="宋体" w:hAnsi="宋体" w:eastAsia="宋体" w:cs="宋体"/>
          <w:color w:val="auto"/>
          <w:sz w:val="24"/>
          <w:szCs w:val="24"/>
          <w:highlight w:val="none"/>
          <w:lang w:val="zh-TW"/>
        </w:rPr>
      </w:pPr>
      <w:bookmarkStart w:id="46" w:name="_Toc40800912"/>
      <w:r>
        <w:rPr>
          <w:rFonts w:hint="eastAsia" w:ascii="宋体" w:hAnsi="宋体" w:eastAsia="宋体" w:cs="宋体"/>
          <w:color w:val="auto"/>
          <w:sz w:val="24"/>
          <w:szCs w:val="24"/>
          <w:highlight w:val="none"/>
          <w:lang w:val="zh-TW"/>
        </w:rPr>
        <w:t>1.发包人的权利和义务</w:t>
      </w:r>
      <w:bookmarkEnd w:id="46"/>
    </w:p>
    <w:p w14:paraId="2FE83310">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⑴发包人在与承包人签约工程合同时，承包人应将制定的《施工现场治安防火工作管理规范》书面交于发包人，在发包人修订、确认后明确要求、落实责任、加强指导。</w:t>
      </w:r>
    </w:p>
    <w:p w14:paraId="0376D1D7">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⑵发包人应将上级公安部门和上级单位对工地治安防火工作的有关要求、信息及时向承包人进行传达布置，定期听取承包人在开展治安防火工作中的情况和意见，做好指导和协调工作。</w:t>
      </w:r>
    </w:p>
    <w:p w14:paraId="1AFFD544">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⑶发包人有权对承包人贯彻落实治安防火工作的情况进行检查，对承包人有关人员发生的违章违法行为及相关问题，则有权教育、制止和责成其限期整改，必要时发包人可要求承包人每次赔偿人民币1000元。</w:t>
      </w:r>
    </w:p>
    <w:p w14:paraId="4375C5CC">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⑷承包人的违章违法行为，发包人有权要求赔偿的是指：</w:t>
      </w:r>
    </w:p>
    <w:p w14:paraId="024F3A04">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①未经公安消防部门审核批准，擅自使用液化气钢瓶或违章储存易燃、易爆危险物品尚未造成后果的。</w:t>
      </w:r>
    </w:p>
    <w:p w14:paraId="43DEC6D4">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②未严格按照《施工现场动用明火管理规定》进行动火作业尚未造成后果的。</w:t>
      </w:r>
    </w:p>
    <w:p w14:paraId="570645BD">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③施工区域内发生聚众斗殴、赌博、收看淫秽录像等影响工地治安秩序的违法行为及集体宿舍内违章男女混居的。</w:t>
      </w:r>
    </w:p>
    <w:p w14:paraId="32EF2230">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④违反《施工现场用电安全管理规定》用电，擅自使用电炉、煤油炉、电热毯、电慰斗等及带有明火的各类电取暖器，或擅自使用高能耗灯具取暖、烘烤物品及在禁火区域内违章吸烟的。</w:t>
      </w:r>
    </w:p>
    <w:p w14:paraId="24B0CD89">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⑸承包人在其责任区域内发生严重违法犯罪案件或重特大火灾事故的，由公安司法部门调查处理：但发包人可要求承包人每次赔偿人民币50000元，上不封顶。</w:t>
      </w:r>
    </w:p>
    <w:p w14:paraId="6F151AB3">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⑹发包人对承包人的责任违约赔偿要求，由发包人开具书面通知单给承包人认可。赔偿款从尚未支付的承包人工程款中直接扣除。</w:t>
      </w:r>
    </w:p>
    <w:p w14:paraId="2498FEE2">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⑺根据整个工地治安防范的需要，如确需增设或外聘警卫值勤人员时，发包人可按“协商、集中”的原则决定实施方案，其费用发包人按实际需要由涉及到的各施工单位分担，承包人不得推委。</w:t>
      </w:r>
    </w:p>
    <w:p w14:paraId="2F917EC3">
      <w:pPr>
        <w:widowControl/>
        <w:spacing w:line="360" w:lineRule="auto"/>
        <w:ind w:firstLine="472"/>
        <w:jc w:val="left"/>
        <w:outlineLvl w:val="1"/>
        <w:rPr>
          <w:rFonts w:hint="eastAsia" w:ascii="宋体" w:hAnsi="宋体" w:eastAsia="宋体" w:cs="宋体"/>
          <w:color w:val="auto"/>
          <w:sz w:val="24"/>
          <w:szCs w:val="24"/>
          <w:highlight w:val="none"/>
          <w:lang w:val="zh-TW"/>
        </w:rPr>
      </w:pPr>
      <w:bookmarkStart w:id="47" w:name="_Toc40800913"/>
      <w:r>
        <w:rPr>
          <w:rFonts w:hint="eastAsia" w:ascii="宋体" w:hAnsi="宋体" w:eastAsia="宋体" w:cs="宋体"/>
          <w:color w:val="auto"/>
          <w:sz w:val="24"/>
          <w:szCs w:val="24"/>
          <w:highlight w:val="none"/>
          <w:lang w:val="zh-TW"/>
        </w:rPr>
        <w:t>2.承包人的权利和义务</w:t>
      </w:r>
      <w:bookmarkEnd w:id="47"/>
    </w:p>
    <w:p w14:paraId="22C9BF47">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⑴承包人在进入工地后，应及时明确落实工地治安、防火第一责任人专（兼）职保卫消防干部及治安保卫组织网络，书面报发包人备案。</w:t>
      </w:r>
    </w:p>
    <w:p w14:paraId="4633AF3B">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⑵承包人在施工期间必须遵守、执行国家和太仓市颁布的治安、消防方面的法律、法规，认真落实发包人制定的《施工现场治安、防火工作管理规范》，服从管理，对本责任区域内的治安稳定、防火安全，实施全面负责，确保不发生重大治安、刑事案件和火灾事故。</w:t>
      </w:r>
    </w:p>
    <w:p w14:paraId="2B6872AA">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⑶承包人的治安防火工作，除接受其上级主管单位的领导外，还应主动接受工程所在地公安消防部门和发包人的业务指导、督促、检查。对公安部门和发包人布置的“创建治安合格工地”等工作，要积极地贯彻执行，对消防部门和发包人在检查中查获的各类隐患问题，应在规定的期限内组织整改或采取相应的防范措施，确保安全。</w:t>
      </w:r>
    </w:p>
    <w:p w14:paraId="344C4A40">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⑷一旦工地上发生治安、刑事案件或火灾事故，承包人应在积极处置、保护现场的同时，立即向公安部门和发包人报告，接受调查、处理。所造成（包括对发包人）的损失，由承包人承担。</w:t>
      </w:r>
    </w:p>
    <w:p w14:paraId="313F5642">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⑸承包人对因违章违法行为所受的责任违约经济处理有异议的，可提出申诉，要求复议。如发现发包人工作人员在工作中有滥用职权、营私舞弊、有意刁难等违法行为的，有权向发包人领导或有关机关检举揭发，要求处理。</w:t>
      </w:r>
    </w:p>
    <w:p w14:paraId="4B7BFDD8">
      <w:pPr>
        <w:widowControl/>
        <w:spacing w:line="360" w:lineRule="auto"/>
        <w:ind w:firstLine="472"/>
        <w:jc w:val="left"/>
        <w:outlineLvl w:val="1"/>
        <w:rPr>
          <w:rFonts w:hint="eastAsia" w:ascii="宋体" w:hAnsi="宋体" w:eastAsia="宋体" w:cs="宋体"/>
          <w:color w:val="auto"/>
          <w:sz w:val="24"/>
          <w:szCs w:val="24"/>
          <w:highlight w:val="none"/>
          <w:lang w:val="zh-TW"/>
        </w:rPr>
      </w:pPr>
      <w:bookmarkStart w:id="48" w:name="_Toc40800914"/>
      <w:r>
        <w:rPr>
          <w:rFonts w:hint="eastAsia" w:ascii="宋体" w:hAnsi="宋体" w:eastAsia="宋体" w:cs="宋体"/>
          <w:color w:val="auto"/>
          <w:sz w:val="24"/>
          <w:szCs w:val="24"/>
          <w:highlight w:val="none"/>
          <w:lang w:val="zh-TW"/>
        </w:rPr>
        <w:t>3.其他</w:t>
      </w:r>
      <w:bookmarkEnd w:id="48"/>
    </w:p>
    <w:p w14:paraId="228F87E4">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⑴本协议中未涉及到的有关条款，发包人、承包人双方可根据需要协商补充修改。如遇有与国家和太仓市的有关部门法规不符的应按国家和本市的有关规定执行。</w:t>
      </w:r>
    </w:p>
    <w:p w14:paraId="3D4BA771">
      <w:pPr>
        <w:widowControl/>
        <w:spacing w:line="360" w:lineRule="auto"/>
        <w:ind w:firstLine="472"/>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⑵本协议作为项目工程总承包合同的附件，在工程总承包合同签约后生效，与工程总承包合同具有同等法律效力。工程总承包合同期满，本协议终止。</w:t>
      </w:r>
    </w:p>
    <w:p w14:paraId="25D1BB63">
      <w:pPr>
        <w:widowControl/>
        <w:spacing w:line="360" w:lineRule="auto"/>
        <w:ind w:firstLine="472"/>
        <w:jc w:val="left"/>
        <w:rPr>
          <w:rFonts w:hint="eastAsia" w:ascii="宋体" w:hAnsi="宋体" w:eastAsia="宋体" w:cs="宋体"/>
          <w:color w:val="auto"/>
          <w:sz w:val="24"/>
          <w:szCs w:val="24"/>
          <w:highlight w:val="none"/>
          <w:lang w:val="zh-TW"/>
        </w:rPr>
      </w:pPr>
    </w:p>
    <w:p w14:paraId="613DD41A">
      <w:pPr>
        <w:widowControl/>
        <w:spacing w:line="360" w:lineRule="auto"/>
        <w:ind w:firstLine="472"/>
        <w:jc w:val="left"/>
        <w:rPr>
          <w:rFonts w:hint="eastAsia" w:ascii="宋体" w:hAnsi="宋体" w:eastAsia="宋体" w:cs="宋体"/>
          <w:color w:val="auto"/>
          <w:sz w:val="24"/>
          <w:szCs w:val="24"/>
          <w:highlight w:val="none"/>
          <w:lang w:val="zh-TW"/>
        </w:rPr>
      </w:pPr>
    </w:p>
    <w:p w14:paraId="39A2A108">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发包人：（公章或合同章）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rPr>
        <w:t>承包人：（公章或合同章）</w:t>
      </w:r>
    </w:p>
    <w:p w14:paraId="3C730A82">
      <w:pPr>
        <w:widowControl/>
        <w:spacing w:line="360" w:lineRule="auto"/>
        <w:ind w:firstLine="420"/>
        <w:jc w:val="lef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法定代表人或委托代理人：</w:t>
      </w:r>
      <w:r>
        <w:rPr>
          <w:rFonts w:hint="eastAsia" w:ascii="宋体" w:hAnsi="宋体" w:eastAsia="宋体" w:cs="宋体"/>
          <w:color w:val="auto"/>
          <w:sz w:val="24"/>
          <w:szCs w:val="24"/>
          <w:highlight w:val="none"/>
          <w:lang w:val="zh-TW"/>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eastAsia="zh-TW"/>
        </w:rPr>
        <w:t>法定代表人或委托代理人：</w:t>
      </w:r>
    </w:p>
    <w:p w14:paraId="30135273">
      <w:pPr>
        <w:widowControl/>
        <w:spacing w:line="360" w:lineRule="auto"/>
        <w:ind w:firstLine="42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eastAsia="zh-TW"/>
        </w:rPr>
        <w:t>（签字或盖章）</w:t>
      </w:r>
      <w:r>
        <w:rPr>
          <w:rFonts w:hint="eastAsia" w:ascii="宋体" w:hAnsi="宋体" w:eastAsia="宋体" w:cs="宋体"/>
          <w:color w:val="auto"/>
          <w:sz w:val="24"/>
          <w:szCs w:val="24"/>
          <w:highlight w:val="none"/>
          <w:lang w:val="zh-TW"/>
        </w:rPr>
        <w:t xml:space="preserve"> </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TW" w:eastAsia="zh-TW"/>
        </w:rPr>
        <w:t xml:space="preserve"> （签字或盖章）</w:t>
      </w:r>
    </w:p>
    <w:p w14:paraId="462B87A0">
      <w:pPr>
        <w:widowControl/>
        <w:spacing w:line="360" w:lineRule="auto"/>
        <w:ind w:firstLine="200"/>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TW"/>
        </w:rPr>
        <w:t>订立时间：</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年</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月</w:t>
      </w: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rPr>
        <w:t>日</w:t>
      </w:r>
    </w:p>
    <w:bookmarkEnd w:id="49"/>
    <w:sectPr>
      <w:pgSz w:w="11907" w:h="16839"/>
      <w:pgMar w:top="1440" w:right="1080" w:bottom="1440" w:left="1080" w:header="567" w:footer="79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1" w:fontKey="{AE58B8F3-D93A-4252-80E4-167094E07BC6}"/>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华文细黑.">
    <w:altName w:val="黑体"/>
    <w:panose1 w:val="02010600040101010101"/>
    <w:charset w:val="00"/>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宋体ラ...">
    <w:altName w:val="宋体"/>
    <w:panose1 w:val="0201060003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Time New Roma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昆仑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altName w:val="黑体"/>
    <w:panose1 w:val="020B0503020204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2OcuAe">
    <w:altName w:val="DejaVu Math TeX Gyre"/>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方正仿宋_GBK">
    <w:panose1 w:val="02000000000000000000"/>
    <w:charset w:val="86"/>
    <w:family w:val="script"/>
    <w:pitch w:val="default"/>
    <w:sig w:usb0="A00002BF" w:usb1="38CF7CFA" w:usb2="00082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AB21C">
    <w:pPr>
      <w:pStyle w:val="4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A3854">
    <w:pPr>
      <w:pStyle w:val="4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B2839">
    <w:pPr>
      <w:pStyle w:val="4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58BCE9">
                          <w:pPr>
                            <w:pStyle w:val="4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8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ekFgo+AgAAcQQAAA4AAABkcnMvZTJvRG9jLnhtbK1UzW7UMBC+I/EO&#10;lu802yLK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96QWCj4CAABxBAAADgAAAAAAAAABACAAAAAfAQAAZHJzL2Uy&#10;b0RvYy54bWxQSwUGAAAAAAYABgBZAQAAzwUAAAAA&#10;">
              <v:fill on="f" focussize="0,0"/>
              <v:stroke on="f" weight="0.5pt"/>
              <v:imagedata o:title=""/>
              <o:lock v:ext="edit" aspectratio="f"/>
              <v:textbox inset="0mm,0mm,0mm,0mm" style="mso-fit-shape-to-text:t;">
                <w:txbxContent>
                  <w:p w14:paraId="7958BCE9">
                    <w:pPr>
                      <w:pStyle w:val="4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63C51">
    <w:pPr>
      <w:pStyle w:val="41"/>
      <w:framePr w:wrap="around" w:vAnchor="text" w:hAnchor="margin" w:xAlign="right" w:y="1"/>
      <w:rPr>
        <w:rStyle w:val="71"/>
      </w:rPr>
    </w:pPr>
    <w:r>
      <w:fldChar w:fldCharType="begin"/>
    </w:r>
    <w:r>
      <w:rPr>
        <w:rStyle w:val="71"/>
      </w:rPr>
      <w:instrText xml:space="preserve">PAGE  </w:instrText>
    </w:r>
    <w:r>
      <w:fldChar w:fldCharType="separate"/>
    </w:r>
    <w:r>
      <w:rPr>
        <w:rStyle w:val="71"/>
      </w:rPr>
      <w:t>16</w:t>
    </w:r>
    <w:r>
      <w:fldChar w:fldCharType="end"/>
    </w:r>
  </w:p>
  <w:p w14:paraId="47404907">
    <w:pPr>
      <w:pStyle w:val="41"/>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0DEB8">
    <w:pPr>
      <w:pStyle w:val="4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86E1CE">
                          <w:pPr>
                            <w:pStyle w:val="41"/>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8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lQT8HPQIAAHEEAAAOAAAAAAAAAAEAIAAAAB8BAABkcnMvZTJv&#10;RG9jLnhtbFBLBQYAAAAABgAGAFkBAADOBQAAAAA=&#10;">
              <v:fill on="f" focussize="0,0"/>
              <v:stroke on="f" weight="0.5pt"/>
              <v:imagedata o:title=""/>
              <o:lock v:ext="edit" aspectratio="f"/>
              <v:textbox inset="0mm,0mm,0mm,0mm" style="mso-fit-shape-to-text:t;">
                <w:txbxContent>
                  <w:p w14:paraId="3A86E1CE">
                    <w:pPr>
                      <w:pStyle w:val="41"/>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6CB64">
    <w:pPr>
      <w:pStyle w:val="42"/>
      <w:pBdr>
        <w:bottom w:val="none" w:color="auto" w:sz="0" w:space="0"/>
      </w:pBdr>
      <w:rPr>
        <w:rFonts w:ascii="宋体" w:hAnsi="宋体"/>
        <w:color w:val="808080"/>
        <w:spacing w:val="6"/>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6101D">
    <w:pPr>
      <w:pStyle w:val="4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A13B13"/>
    <w:multiLevelType w:val="singleLevel"/>
    <w:tmpl w:val="A3A13B13"/>
    <w:lvl w:ilvl="0" w:tentative="0">
      <w:start w:val="1"/>
      <w:numFmt w:val="bullet"/>
      <w:pStyle w:val="34"/>
      <w:lvlText w:val=""/>
      <w:lvlJc w:val="left"/>
      <w:pPr>
        <w:tabs>
          <w:tab w:val="left" w:pos="2040"/>
        </w:tabs>
        <w:ind w:left="2040" w:hanging="360"/>
      </w:pPr>
      <w:rPr>
        <w:rFonts w:hint="default" w:ascii="Wingdings" w:hAnsi="Wingdings"/>
      </w:rPr>
    </w:lvl>
  </w:abstractNum>
  <w:abstractNum w:abstractNumId="1">
    <w:nsid w:val="0053208E"/>
    <w:multiLevelType w:val="multilevel"/>
    <w:tmpl w:val="0053208E"/>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799"/>
      <w:suff w:val="nothing"/>
      <w:lvlText w:val="%1%2　"/>
      <w:lvlJc w:val="left"/>
      <w:pPr>
        <w:ind w:left="36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54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1FC91163"/>
    <w:multiLevelType w:val="multilevel"/>
    <w:tmpl w:val="1FC91163"/>
    <w:lvl w:ilvl="0" w:tentative="0">
      <w:start w:val="1"/>
      <w:numFmt w:val="decimal"/>
      <w:suff w:val="nothing"/>
      <w:lvlText w:val="%1　"/>
      <w:lvlJc w:val="left"/>
      <w:pPr>
        <w:ind w:left="568" w:firstLine="0"/>
      </w:pPr>
      <w:rPr>
        <w:rFonts w:hint="eastAsia" w:ascii="黑体" w:hAnsi="Times New Roman" w:eastAsia="黑体"/>
        <w:b w:val="0"/>
        <w:i w:val="0"/>
        <w:sz w:val="21"/>
        <w:szCs w:val="21"/>
      </w:rPr>
    </w:lvl>
    <w:lvl w:ilvl="1" w:tentative="0">
      <w:start w:val="1"/>
      <w:numFmt w:val="decimal"/>
      <w:pStyle w:val="810"/>
      <w:suff w:val="nothing"/>
      <w:lvlText w:val="%1.%2　"/>
      <w:lvlJc w:val="left"/>
      <w:pPr>
        <w:ind w:left="426" w:firstLine="0"/>
      </w:pPr>
      <w:rPr>
        <w:rFonts w:hint="eastAsia" w:ascii="黑体" w:hAnsi="Times New Roman" w:eastAsia="黑体" w:cs="Times New Roman"/>
        <w:b w:val="0"/>
        <w:bCs w:val="0"/>
        <w:i w:val="0"/>
        <w:iCs w:val="0"/>
        <w:caps w:val="0"/>
        <w:strike w:val="0"/>
        <w:dstrike w:val="0"/>
        <w:vanish w:val="0"/>
        <w:spacing w:val="0"/>
        <w:kern w:val="0"/>
        <w:position w:val="0"/>
        <w:sz w:val="21"/>
        <w:szCs w:val="21"/>
        <w:u w:val="none"/>
        <w:vertAlign w:val="baseline"/>
      </w:rPr>
    </w:lvl>
    <w:lvl w:ilvl="2" w:tentative="0">
      <w:start w:val="1"/>
      <w:numFmt w:val="decimal"/>
      <w:pStyle w:val="809"/>
      <w:suff w:val="nothing"/>
      <w:lvlText w:val="%1.%2.%3　"/>
      <w:lvlJc w:val="left"/>
      <w:pPr>
        <w:ind w:left="1135" w:firstLine="0"/>
      </w:pPr>
      <w:rPr>
        <w:rFonts w:hint="eastAsia" w:ascii="黑体" w:hAnsi="Times New Roman" w:eastAsia="黑体"/>
        <w:b w:val="0"/>
        <w:i w:val="0"/>
        <w:sz w:val="21"/>
      </w:rPr>
    </w:lvl>
    <w:lvl w:ilvl="3" w:tentative="0">
      <w:start w:val="1"/>
      <w:numFmt w:val="decimal"/>
      <w:suff w:val="nothing"/>
      <w:lvlText w:val="%1.%2.%3.%4　"/>
      <w:lvlJc w:val="left"/>
      <w:pPr>
        <w:ind w:left="142" w:firstLine="0"/>
      </w:pPr>
      <w:rPr>
        <w:rFonts w:hint="eastAsia" w:ascii="黑体" w:hAnsi="Times New Roman" w:eastAsia="黑体"/>
        <w:b w:val="0"/>
        <w:i w:val="0"/>
        <w:sz w:val="21"/>
      </w:rPr>
    </w:lvl>
    <w:lvl w:ilvl="4" w:tentative="0">
      <w:start w:val="1"/>
      <w:numFmt w:val="decimal"/>
      <w:suff w:val="nothing"/>
      <w:lvlText w:val="%1.%2.%3.%4.%5　"/>
      <w:lvlJc w:val="left"/>
      <w:pPr>
        <w:ind w:left="142" w:firstLine="0"/>
      </w:pPr>
      <w:rPr>
        <w:rFonts w:hint="eastAsia" w:ascii="黑体" w:hAnsi="Times New Roman" w:eastAsia="黑体"/>
        <w:b w:val="0"/>
        <w:i w:val="0"/>
        <w:sz w:val="21"/>
      </w:rPr>
    </w:lvl>
    <w:lvl w:ilvl="5" w:tentative="0">
      <w:start w:val="1"/>
      <w:numFmt w:val="decimal"/>
      <w:suff w:val="nothing"/>
      <w:lvlText w:val="%1.%2.%3.%4.%5.%6　"/>
      <w:lvlJc w:val="left"/>
      <w:pPr>
        <w:ind w:left="142" w:firstLine="0"/>
      </w:pPr>
      <w:rPr>
        <w:rFonts w:hint="eastAsia" w:ascii="黑体" w:hAnsi="Times New Roman" w:eastAsia="黑体"/>
        <w:b w:val="0"/>
        <w:i w:val="0"/>
        <w:sz w:val="21"/>
      </w:rPr>
    </w:lvl>
    <w:lvl w:ilvl="6" w:tentative="0">
      <w:start w:val="1"/>
      <w:numFmt w:val="decimal"/>
      <w:suff w:val="nothing"/>
      <w:lvlText w:val="%1%2.%3.%4.%5.%6.%7　"/>
      <w:lvlJc w:val="left"/>
      <w:pPr>
        <w:ind w:left="142" w:firstLine="0"/>
      </w:pPr>
      <w:rPr>
        <w:rFonts w:hint="eastAsia" w:ascii="黑体" w:hAnsi="Times New Roman" w:eastAsia="黑体"/>
        <w:b w:val="0"/>
        <w:i w:val="0"/>
        <w:sz w:val="21"/>
      </w:rPr>
    </w:lvl>
    <w:lvl w:ilvl="7" w:tentative="0">
      <w:start w:val="1"/>
      <w:numFmt w:val="decimal"/>
      <w:lvlText w:val="%1.%2.%3.%4.%5.%6.%7.%8"/>
      <w:lvlJc w:val="left"/>
      <w:pPr>
        <w:tabs>
          <w:tab w:val="left" w:pos="4493"/>
        </w:tabs>
        <w:ind w:left="4111" w:hanging="1418"/>
      </w:pPr>
      <w:rPr>
        <w:rFonts w:hint="eastAsia"/>
      </w:rPr>
    </w:lvl>
    <w:lvl w:ilvl="8" w:tentative="0">
      <w:start w:val="1"/>
      <w:numFmt w:val="decimal"/>
      <w:lvlText w:val="%1.%2.%3.%4.%5.%6.%7.%8.%9"/>
      <w:lvlJc w:val="left"/>
      <w:pPr>
        <w:tabs>
          <w:tab w:val="left" w:pos="4919"/>
        </w:tabs>
        <w:ind w:left="4819" w:hanging="1700"/>
      </w:pPr>
      <w:rPr>
        <w:rFonts w:hint="eastAsia"/>
      </w:rPr>
    </w:lvl>
  </w:abstractNum>
  <w:abstractNum w:abstractNumId="3">
    <w:nsid w:val="2830769B"/>
    <w:multiLevelType w:val="multilevel"/>
    <w:tmpl w:val="2830769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
    <w:nsid w:val="59ADCABA"/>
    <w:multiLevelType w:val="multilevel"/>
    <w:tmpl w:val="59ADCAB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664E1261"/>
    <w:multiLevelType w:val="multilevel"/>
    <w:tmpl w:val="664E126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4862C0"/>
    <w:rsid w:val="0A0C70D3"/>
    <w:rsid w:val="0A1D511E"/>
    <w:rsid w:val="0B4C7BF4"/>
    <w:rsid w:val="0FA933C0"/>
    <w:rsid w:val="165C654D"/>
    <w:rsid w:val="17344377"/>
    <w:rsid w:val="1CCA4D35"/>
    <w:rsid w:val="1DB16276"/>
    <w:rsid w:val="1F8B39D5"/>
    <w:rsid w:val="1FD718A7"/>
    <w:rsid w:val="201E3957"/>
    <w:rsid w:val="2100054F"/>
    <w:rsid w:val="27284D09"/>
    <w:rsid w:val="275C7C00"/>
    <w:rsid w:val="27EB05C2"/>
    <w:rsid w:val="28005BAD"/>
    <w:rsid w:val="28073D05"/>
    <w:rsid w:val="2AB07C13"/>
    <w:rsid w:val="33932959"/>
    <w:rsid w:val="364C0E2D"/>
    <w:rsid w:val="37A75B88"/>
    <w:rsid w:val="3AD30CF9"/>
    <w:rsid w:val="40291B8E"/>
    <w:rsid w:val="4528687B"/>
    <w:rsid w:val="49BC0B8D"/>
    <w:rsid w:val="4A5071F8"/>
    <w:rsid w:val="4F3E697A"/>
    <w:rsid w:val="548412D3"/>
    <w:rsid w:val="57A77614"/>
    <w:rsid w:val="59EF31B8"/>
    <w:rsid w:val="5A627AA3"/>
    <w:rsid w:val="5B547C51"/>
    <w:rsid w:val="6154044E"/>
    <w:rsid w:val="62010D23"/>
    <w:rsid w:val="63ED272C"/>
    <w:rsid w:val="65D33DA4"/>
    <w:rsid w:val="65E908B2"/>
    <w:rsid w:val="67246185"/>
    <w:rsid w:val="691A3659"/>
    <w:rsid w:val="695C7A48"/>
    <w:rsid w:val="699E02E9"/>
    <w:rsid w:val="6AB2107B"/>
    <w:rsid w:val="6D26750E"/>
    <w:rsid w:val="71573B9F"/>
    <w:rsid w:val="738D2AC9"/>
    <w:rsid w:val="752E6CBD"/>
    <w:rsid w:val="755C478C"/>
    <w:rsid w:val="78307284"/>
    <w:rsid w:val="78BE6BE9"/>
    <w:rsid w:val="79894B12"/>
    <w:rsid w:val="7C680D8C"/>
    <w:rsid w:val="7DB57B17"/>
    <w:rsid w:val="7DBF4FA6"/>
    <w:rsid w:val="7DE5072F"/>
    <w:rsid w:val="7FC3229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nhideWhenUsed="0" w:uiPriority="0" w:semiHidden="0" w:name="caption"/>
    <w:lsdException w:qFormat="1" w:unhideWhenUsed="0" w:uiPriority="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qFormat="1"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55"/>
    <w:qFormat/>
    <w:uiPriority w:val="0"/>
    <w:pPr>
      <w:keepNext/>
      <w:tabs>
        <w:tab w:val="left" w:pos="200"/>
      </w:tabs>
      <w:jc w:val="center"/>
      <w:outlineLvl w:val="0"/>
    </w:pPr>
    <w:rPr>
      <w:rFonts w:ascii="宋体" w:hAnsi="宋体"/>
      <w:b/>
      <w:sz w:val="36"/>
    </w:rPr>
  </w:style>
  <w:style w:type="paragraph" w:styleId="3">
    <w:name w:val="heading 2"/>
    <w:basedOn w:val="1"/>
    <w:next w:val="1"/>
    <w:link w:val="307"/>
    <w:qFormat/>
    <w:uiPriority w:val="0"/>
    <w:pPr>
      <w:keepNext/>
      <w:jc w:val="center"/>
      <w:outlineLvl w:val="1"/>
    </w:pPr>
    <w:rPr>
      <w:rFonts w:ascii="宋体" w:hAnsi="宋体"/>
      <w:b/>
      <w:bCs/>
      <w:sz w:val="28"/>
      <w:szCs w:val="28"/>
    </w:rPr>
  </w:style>
  <w:style w:type="paragraph" w:styleId="4">
    <w:name w:val="heading 3"/>
    <w:basedOn w:val="1"/>
    <w:next w:val="1"/>
    <w:link w:val="300"/>
    <w:qFormat/>
    <w:uiPriority w:val="0"/>
    <w:pPr>
      <w:keepNext/>
      <w:jc w:val="center"/>
      <w:outlineLvl w:val="2"/>
    </w:pPr>
    <w:rPr>
      <w:rFonts w:ascii="宋体" w:hAnsi="宋体"/>
      <w:sz w:val="28"/>
    </w:rPr>
  </w:style>
  <w:style w:type="paragraph" w:styleId="5">
    <w:name w:val="heading 4"/>
    <w:basedOn w:val="1"/>
    <w:next w:val="1"/>
    <w:link w:val="287"/>
    <w:qFormat/>
    <w:uiPriority w:val="0"/>
    <w:pPr>
      <w:keepNext/>
      <w:outlineLvl w:val="3"/>
    </w:pPr>
    <w:rPr>
      <w:b/>
      <w:bCs/>
      <w:sz w:val="18"/>
    </w:rPr>
  </w:style>
  <w:style w:type="paragraph" w:styleId="6">
    <w:name w:val="heading 5"/>
    <w:basedOn w:val="1"/>
    <w:next w:val="1"/>
    <w:link w:val="302"/>
    <w:qFormat/>
    <w:uiPriority w:val="0"/>
    <w:pPr>
      <w:keepNext/>
      <w:jc w:val="center"/>
      <w:outlineLvl w:val="4"/>
    </w:pPr>
    <w:rPr>
      <w:b/>
      <w:bCs/>
      <w:sz w:val="18"/>
    </w:rPr>
  </w:style>
  <w:style w:type="paragraph" w:styleId="7">
    <w:name w:val="heading 6"/>
    <w:basedOn w:val="1"/>
    <w:next w:val="1"/>
    <w:link w:val="285"/>
    <w:qFormat/>
    <w:uiPriority w:val="0"/>
    <w:pPr>
      <w:keepNext/>
      <w:keepLines/>
      <w:spacing w:before="240" w:after="64" w:line="320" w:lineRule="auto"/>
      <w:ind w:left="992" w:hanging="567"/>
      <w:outlineLvl w:val="5"/>
    </w:pPr>
    <w:rPr>
      <w:rFonts w:ascii="Cambria" w:hAnsi="Cambria" w:eastAsia="黑体"/>
      <w:b/>
      <w:bCs/>
      <w:sz w:val="28"/>
      <w:szCs w:val="24"/>
    </w:rPr>
  </w:style>
  <w:style w:type="paragraph" w:styleId="8">
    <w:name w:val="heading 7"/>
    <w:basedOn w:val="1"/>
    <w:next w:val="1"/>
    <w:link w:val="249"/>
    <w:qFormat/>
    <w:uiPriority w:val="0"/>
    <w:pPr>
      <w:keepNext/>
      <w:outlineLvl w:val="6"/>
    </w:pPr>
    <w:rPr>
      <w:rFonts w:ascii="Arial" w:hAnsi="Arial"/>
      <w:b/>
      <w:bCs/>
      <w:sz w:val="16"/>
      <w:szCs w:val="16"/>
    </w:rPr>
  </w:style>
  <w:style w:type="paragraph" w:styleId="9">
    <w:name w:val="heading 8"/>
    <w:basedOn w:val="1"/>
    <w:next w:val="1"/>
    <w:link w:val="282"/>
    <w:qFormat/>
    <w:uiPriority w:val="0"/>
    <w:pPr>
      <w:keepNext/>
      <w:outlineLvl w:val="7"/>
    </w:pPr>
    <w:rPr>
      <w:b/>
      <w:bCs/>
      <w:sz w:val="24"/>
      <w:szCs w:val="24"/>
    </w:rPr>
  </w:style>
  <w:style w:type="paragraph" w:styleId="10">
    <w:name w:val="heading 9"/>
    <w:basedOn w:val="1"/>
    <w:next w:val="1"/>
    <w:link w:val="241"/>
    <w:qFormat/>
    <w:uiPriority w:val="0"/>
    <w:pPr>
      <w:keepNext/>
      <w:jc w:val="center"/>
      <w:outlineLvl w:val="8"/>
    </w:pPr>
    <w:rPr>
      <w:b/>
      <w:bCs/>
      <w:szCs w:val="24"/>
    </w:rPr>
  </w:style>
  <w:style w:type="character" w:default="1" w:styleId="68">
    <w:name w:val="Default Paragraph Font"/>
    <w:semiHidden/>
    <w:unhideWhenUsed/>
    <w:qFormat/>
    <w:uiPriority w:val="1"/>
  </w:style>
  <w:style w:type="table" w:default="1" w:styleId="66">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hanging="200"/>
    </w:pPr>
    <w:rPr>
      <w:rFonts w:eastAsia="楷体_GB2312"/>
      <w:sz w:val="26"/>
    </w:rPr>
  </w:style>
  <w:style w:type="paragraph" w:styleId="12">
    <w:name w:val="toc 7"/>
    <w:basedOn w:val="1"/>
    <w:next w:val="1"/>
    <w:qFormat/>
    <w:uiPriority w:val="39"/>
    <w:pPr>
      <w:ind w:left="1260"/>
      <w:jc w:val="left"/>
    </w:pPr>
    <w:rPr>
      <w:szCs w:val="21"/>
    </w:rPr>
  </w:style>
  <w:style w:type="paragraph" w:styleId="13">
    <w:name w:val="List Number 2"/>
    <w:basedOn w:val="1"/>
    <w:qFormat/>
    <w:uiPriority w:val="0"/>
    <w:pPr>
      <w:spacing w:line="312" w:lineRule="atLeast"/>
    </w:pPr>
    <w:rPr>
      <w:sz w:val="20"/>
    </w:rPr>
  </w:style>
  <w:style w:type="paragraph" w:styleId="14">
    <w:name w:val="Note Heading"/>
    <w:basedOn w:val="1"/>
    <w:next w:val="1"/>
    <w:link w:val="243"/>
    <w:qFormat/>
    <w:uiPriority w:val="0"/>
    <w:pPr>
      <w:spacing w:line="360" w:lineRule="auto"/>
      <w:jc w:val="center"/>
    </w:pPr>
    <w:rPr>
      <w:sz w:val="24"/>
      <w:szCs w:val="24"/>
    </w:rPr>
  </w:style>
  <w:style w:type="paragraph" w:styleId="15">
    <w:name w:val="index 8"/>
    <w:basedOn w:val="1"/>
    <w:next w:val="1"/>
    <w:semiHidden/>
    <w:qFormat/>
    <w:uiPriority w:val="0"/>
    <w:pPr>
      <w:ind w:left="1400"/>
    </w:pPr>
  </w:style>
  <w:style w:type="paragraph" w:styleId="16">
    <w:name w:val="Normal Indent"/>
    <w:basedOn w:val="1"/>
    <w:link w:val="260"/>
    <w:qFormat/>
    <w:uiPriority w:val="0"/>
    <w:pPr>
      <w:ind w:firstLine="420"/>
    </w:pPr>
  </w:style>
  <w:style w:type="paragraph" w:styleId="17">
    <w:name w:val="caption"/>
    <w:basedOn w:val="1"/>
    <w:next w:val="1"/>
    <w:link w:val="321"/>
    <w:qFormat/>
    <w:uiPriority w:val="0"/>
    <w:rPr>
      <w:rFonts w:ascii="Arial" w:hAnsi="Arial" w:eastAsia="黑体"/>
      <w:sz w:val="20"/>
    </w:rPr>
  </w:style>
  <w:style w:type="paragraph" w:styleId="18">
    <w:name w:val="index 5"/>
    <w:basedOn w:val="1"/>
    <w:next w:val="1"/>
    <w:semiHidden/>
    <w:qFormat/>
    <w:uiPriority w:val="0"/>
    <w:pPr>
      <w:ind w:left="800"/>
    </w:pPr>
  </w:style>
  <w:style w:type="paragraph" w:styleId="19">
    <w:name w:val="List Bullet"/>
    <w:basedOn w:val="1"/>
    <w:qFormat/>
    <w:uiPriority w:val="0"/>
    <w:pPr>
      <w:spacing w:line="360" w:lineRule="auto"/>
      <w:ind w:left="840" w:hanging="360"/>
      <w:jc w:val="left"/>
    </w:pPr>
    <w:rPr>
      <w:b/>
      <w:sz w:val="24"/>
      <w:szCs w:val="24"/>
    </w:rPr>
  </w:style>
  <w:style w:type="paragraph" w:styleId="20">
    <w:name w:val="Document Map"/>
    <w:basedOn w:val="1"/>
    <w:link w:val="308"/>
    <w:qFormat/>
    <w:uiPriority w:val="0"/>
    <w:pPr>
      <w:shd w:val="clear" w:color="auto" w:fill="000080"/>
    </w:pPr>
  </w:style>
  <w:style w:type="paragraph" w:styleId="21">
    <w:name w:val="annotation text"/>
    <w:basedOn w:val="1"/>
    <w:link w:val="278"/>
    <w:qFormat/>
    <w:uiPriority w:val="99"/>
    <w:pPr>
      <w:jc w:val="left"/>
    </w:pPr>
    <w:rPr>
      <w:rFonts w:ascii="Calibri" w:hAnsi="Calibri"/>
      <w:szCs w:val="22"/>
    </w:rPr>
  </w:style>
  <w:style w:type="paragraph" w:styleId="22">
    <w:name w:val="index 6"/>
    <w:basedOn w:val="1"/>
    <w:next w:val="1"/>
    <w:semiHidden/>
    <w:qFormat/>
    <w:uiPriority w:val="0"/>
    <w:pPr>
      <w:ind w:left="1000"/>
    </w:pPr>
  </w:style>
  <w:style w:type="paragraph" w:styleId="23">
    <w:name w:val="Body Text 3"/>
    <w:basedOn w:val="1"/>
    <w:link w:val="318"/>
    <w:unhideWhenUsed/>
    <w:qFormat/>
    <w:uiPriority w:val="99"/>
    <w:pPr>
      <w:jc w:val="center"/>
    </w:pPr>
    <w:rPr>
      <w:rFonts w:ascii="宋体" w:hAnsi="宋体" w:eastAsia="楷体_GB2312"/>
      <w:sz w:val="26"/>
    </w:rPr>
  </w:style>
  <w:style w:type="paragraph" w:styleId="24">
    <w:name w:val="Body Text"/>
    <w:basedOn w:val="1"/>
    <w:link w:val="288"/>
    <w:qFormat/>
    <w:uiPriority w:val="0"/>
    <w:rPr>
      <w:rFonts w:ascii="楷体_GB2312" w:hAnsi="Arial" w:eastAsia="楷体_GB2312"/>
      <w:sz w:val="28"/>
    </w:rPr>
  </w:style>
  <w:style w:type="paragraph" w:styleId="25">
    <w:name w:val="Body Text Indent"/>
    <w:basedOn w:val="1"/>
    <w:next w:val="26"/>
    <w:link w:val="303"/>
    <w:qFormat/>
    <w:uiPriority w:val="0"/>
    <w:pPr>
      <w:spacing w:line="312" w:lineRule="atLeast"/>
      <w:ind w:firstLine="574"/>
    </w:pPr>
    <w:rPr>
      <w:rFonts w:ascii="宋体"/>
      <w:sz w:val="28"/>
    </w:rPr>
  </w:style>
  <w:style w:type="paragraph" w:styleId="26">
    <w:name w:val="envelope return"/>
    <w:basedOn w:val="1"/>
    <w:qFormat/>
    <w:uiPriority w:val="0"/>
    <w:rPr>
      <w:rFonts w:ascii="Arial" w:hAnsi="Arial" w:eastAsia="楷体_GB2312"/>
      <w:sz w:val="26"/>
    </w:rPr>
  </w:style>
  <w:style w:type="paragraph" w:styleId="27">
    <w:name w:val="List 2"/>
    <w:basedOn w:val="1"/>
    <w:qFormat/>
    <w:uiPriority w:val="0"/>
    <w:pPr>
      <w:ind w:left="100" w:hanging="200"/>
    </w:pPr>
    <w:rPr>
      <w:szCs w:val="24"/>
    </w:rPr>
  </w:style>
  <w:style w:type="paragraph" w:styleId="28">
    <w:name w:val="Block Text"/>
    <w:basedOn w:val="1"/>
    <w:qFormat/>
    <w:uiPriority w:val="0"/>
    <w:pPr>
      <w:tabs>
        <w:tab w:val="left" w:pos="822"/>
        <w:tab w:val="left" w:pos="2205"/>
        <w:tab w:val="left" w:pos="9000"/>
      </w:tabs>
      <w:spacing w:before="89"/>
      <w:ind w:left="1890" w:right="11" w:hanging="1409"/>
    </w:pPr>
    <w:rPr>
      <w:sz w:val="24"/>
    </w:rPr>
  </w:style>
  <w:style w:type="paragraph" w:styleId="29">
    <w:name w:val="List Bullet 2"/>
    <w:basedOn w:val="1"/>
    <w:qFormat/>
    <w:uiPriority w:val="0"/>
    <w:pPr>
      <w:tabs>
        <w:tab w:val="left" w:pos="420"/>
      </w:tabs>
      <w:spacing w:line="312" w:lineRule="atLeast"/>
      <w:ind w:left="420" w:hanging="420"/>
    </w:pPr>
    <w:rPr>
      <w:sz w:val="20"/>
    </w:rPr>
  </w:style>
  <w:style w:type="paragraph" w:styleId="30">
    <w:name w:val="index 4"/>
    <w:basedOn w:val="1"/>
    <w:next w:val="1"/>
    <w:semiHidden/>
    <w:qFormat/>
    <w:uiPriority w:val="0"/>
    <w:pPr>
      <w:ind w:left="600"/>
    </w:pPr>
  </w:style>
  <w:style w:type="paragraph" w:styleId="31">
    <w:name w:val="toc 5"/>
    <w:basedOn w:val="1"/>
    <w:next w:val="1"/>
    <w:qFormat/>
    <w:uiPriority w:val="39"/>
    <w:pPr>
      <w:ind w:left="840"/>
      <w:jc w:val="left"/>
    </w:pPr>
    <w:rPr>
      <w:szCs w:val="21"/>
    </w:rPr>
  </w:style>
  <w:style w:type="paragraph" w:styleId="32">
    <w:name w:val="toc 3"/>
    <w:basedOn w:val="1"/>
    <w:next w:val="1"/>
    <w:qFormat/>
    <w:uiPriority w:val="0"/>
    <w:pPr>
      <w:ind w:left="420"/>
      <w:jc w:val="left"/>
    </w:pPr>
    <w:rPr>
      <w:i/>
      <w:iCs/>
      <w:szCs w:val="24"/>
    </w:rPr>
  </w:style>
  <w:style w:type="paragraph" w:styleId="33">
    <w:name w:val="Plain Text"/>
    <w:basedOn w:val="1"/>
    <w:link w:val="248"/>
    <w:qFormat/>
    <w:uiPriority w:val="0"/>
    <w:rPr>
      <w:rFonts w:ascii="宋体" w:hAnsi="Courier New"/>
    </w:rPr>
  </w:style>
  <w:style w:type="paragraph" w:styleId="34">
    <w:name w:val="List Bullet 5"/>
    <w:basedOn w:val="1"/>
    <w:semiHidden/>
    <w:unhideWhenUsed/>
    <w:qFormat/>
    <w:uiPriority w:val="99"/>
    <w:pPr>
      <w:numPr>
        <w:ilvl w:val="0"/>
        <w:numId w:val="1"/>
      </w:numPr>
    </w:pPr>
  </w:style>
  <w:style w:type="paragraph" w:styleId="35">
    <w:name w:val="toc 8"/>
    <w:basedOn w:val="1"/>
    <w:next w:val="1"/>
    <w:qFormat/>
    <w:uiPriority w:val="39"/>
    <w:pPr>
      <w:ind w:left="1470"/>
      <w:jc w:val="left"/>
    </w:pPr>
    <w:rPr>
      <w:szCs w:val="21"/>
    </w:rPr>
  </w:style>
  <w:style w:type="paragraph" w:styleId="36">
    <w:name w:val="index 3"/>
    <w:basedOn w:val="1"/>
    <w:next w:val="1"/>
    <w:semiHidden/>
    <w:qFormat/>
    <w:uiPriority w:val="0"/>
    <w:pPr>
      <w:ind w:left="400"/>
    </w:pPr>
  </w:style>
  <w:style w:type="paragraph" w:styleId="37">
    <w:name w:val="Date"/>
    <w:basedOn w:val="1"/>
    <w:next w:val="1"/>
    <w:link w:val="311"/>
    <w:qFormat/>
    <w:uiPriority w:val="0"/>
    <w:pPr>
      <w:spacing w:line="312" w:lineRule="atLeast"/>
    </w:pPr>
    <w:rPr>
      <w:rFonts w:ascii="宋体"/>
      <w:sz w:val="28"/>
    </w:rPr>
  </w:style>
  <w:style w:type="paragraph" w:styleId="38">
    <w:name w:val="Body Text Indent 2"/>
    <w:basedOn w:val="1"/>
    <w:link w:val="284"/>
    <w:qFormat/>
    <w:uiPriority w:val="0"/>
    <w:pPr>
      <w:tabs>
        <w:tab w:val="left" w:pos="1785"/>
        <w:tab w:val="left" w:pos="1887"/>
        <w:tab w:val="left" w:pos="2112"/>
        <w:tab w:val="left" w:pos="9000"/>
      </w:tabs>
      <w:ind w:left="1890" w:hanging="1409"/>
    </w:pPr>
    <w:rPr>
      <w:sz w:val="24"/>
    </w:rPr>
  </w:style>
  <w:style w:type="paragraph" w:styleId="39">
    <w:name w:val="endnote text"/>
    <w:basedOn w:val="1"/>
    <w:link w:val="225"/>
    <w:semiHidden/>
    <w:unhideWhenUsed/>
    <w:qFormat/>
    <w:uiPriority w:val="99"/>
    <w:pPr>
      <w:spacing w:after="0" w:line="240" w:lineRule="auto"/>
    </w:pPr>
    <w:rPr>
      <w:sz w:val="20"/>
    </w:rPr>
  </w:style>
  <w:style w:type="paragraph" w:styleId="40">
    <w:name w:val="Balloon Text"/>
    <w:basedOn w:val="1"/>
    <w:link w:val="245"/>
    <w:unhideWhenUsed/>
    <w:qFormat/>
    <w:uiPriority w:val="0"/>
    <w:rPr>
      <w:rFonts w:ascii="Calibri" w:hAnsi="Calibri"/>
      <w:sz w:val="18"/>
      <w:szCs w:val="18"/>
    </w:rPr>
  </w:style>
  <w:style w:type="paragraph" w:styleId="41">
    <w:name w:val="footer"/>
    <w:basedOn w:val="1"/>
    <w:link w:val="262"/>
    <w:qFormat/>
    <w:uiPriority w:val="99"/>
    <w:pPr>
      <w:tabs>
        <w:tab w:val="center" w:pos="4153"/>
        <w:tab w:val="right" w:pos="8306"/>
      </w:tabs>
      <w:jc w:val="left"/>
    </w:pPr>
    <w:rPr>
      <w:sz w:val="18"/>
    </w:rPr>
  </w:style>
  <w:style w:type="paragraph" w:styleId="42">
    <w:name w:val="header"/>
    <w:basedOn w:val="1"/>
    <w:link w:val="237"/>
    <w:qFormat/>
    <w:uiPriority w:val="99"/>
    <w:pPr>
      <w:pBdr>
        <w:bottom w:val="single" w:color="auto" w:sz="6" w:space="1"/>
      </w:pBdr>
      <w:tabs>
        <w:tab w:val="center" w:pos="4153"/>
        <w:tab w:val="right" w:pos="8306"/>
      </w:tabs>
      <w:jc w:val="center"/>
    </w:pPr>
    <w:rPr>
      <w:sz w:val="18"/>
    </w:rPr>
  </w:style>
  <w:style w:type="paragraph" w:styleId="43">
    <w:name w:val="Signature"/>
    <w:basedOn w:val="1"/>
    <w:link w:val="228"/>
    <w:qFormat/>
    <w:uiPriority w:val="0"/>
    <w:pPr>
      <w:spacing w:after="600" w:line="312" w:lineRule="atLeast"/>
      <w:jc w:val="center"/>
    </w:pPr>
    <w:rPr>
      <w:rFonts w:eastAsia="仿宋_GB2312"/>
      <w:sz w:val="24"/>
    </w:rPr>
  </w:style>
  <w:style w:type="paragraph" w:styleId="44">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45">
    <w:name w:val="toc 4"/>
    <w:basedOn w:val="1"/>
    <w:next w:val="1"/>
    <w:qFormat/>
    <w:uiPriority w:val="0"/>
    <w:pPr>
      <w:ind w:left="630"/>
      <w:jc w:val="left"/>
    </w:pPr>
    <w:rPr>
      <w:szCs w:val="21"/>
    </w:rPr>
  </w:style>
  <w:style w:type="paragraph" w:styleId="46">
    <w:name w:val="index heading"/>
    <w:basedOn w:val="1"/>
    <w:next w:val="47"/>
    <w:semiHidden/>
    <w:qFormat/>
    <w:uiPriority w:val="0"/>
  </w:style>
  <w:style w:type="paragraph" w:styleId="47">
    <w:name w:val="index 1"/>
    <w:basedOn w:val="1"/>
    <w:next w:val="1"/>
    <w:qFormat/>
    <w:uiPriority w:val="0"/>
  </w:style>
  <w:style w:type="paragraph" w:styleId="48">
    <w:name w:val="Subtitle"/>
    <w:basedOn w:val="1"/>
    <w:next w:val="1"/>
    <w:link w:val="261"/>
    <w:qFormat/>
    <w:uiPriority w:val="0"/>
    <w:pPr>
      <w:spacing w:before="240" w:after="60" w:line="312" w:lineRule="auto"/>
      <w:jc w:val="center"/>
      <w:outlineLvl w:val="1"/>
    </w:pPr>
    <w:rPr>
      <w:rFonts w:ascii="Cambria" w:hAnsi="Cambria"/>
      <w:b/>
      <w:bCs/>
      <w:sz w:val="32"/>
      <w:szCs w:val="32"/>
    </w:rPr>
  </w:style>
  <w:style w:type="paragraph" w:styleId="49">
    <w:name w:val="List"/>
    <w:basedOn w:val="1"/>
    <w:qFormat/>
    <w:uiPriority w:val="99"/>
    <w:pPr>
      <w:ind w:left="200" w:hanging="200"/>
    </w:pPr>
    <w:rPr>
      <w:szCs w:val="24"/>
    </w:rPr>
  </w:style>
  <w:style w:type="paragraph" w:styleId="50">
    <w:name w:val="footnote text"/>
    <w:basedOn w:val="1"/>
    <w:link w:val="224"/>
    <w:semiHidden/>
    <w:unhideWhenUsed/>
    <w:qFormat/>
    <w:uiPriority w:val="99"/>
    <w:pPr>
      <w:spacing w:after="40" w:line="240" w:lineRule="auto"/>
    </w:pPr>
    <w:rPr>
      <w:sz w:val="18"/>
    </w:rPr>
  </w:style>
  <w:style w:type="paragraph" w:styleId="51">
    <w:name w:val="toc 6"/>
    <w:basedOn w:val="1"/>
    <w:next w:val="1"/>
    <w:qFormat/>
    <w:uiPriority w:val="39"/>
    <w:pPr>
      <w:ind w:left="1050"/>
      <w:jc w:val="left"/>
    </w:pPr>
    <w:rPr>
      <w:szCs w:val="21"/>
    </w:rPr>
  </w:style>
  <w:style w:type="paragraph" w:styleId="52">
    <w:name w:val="Body Text Indent 3"/>
    <w:basedOn w:val="1"/>
    <w:link w:val="238"/>
    <w:qFormat/>
    <w:uiPriority w:val="0"/>
    <w:pPr>
      <w:ind w:firstLine="555"/>
    </w:pPr>
    <w:rPr>
      <w:b/>
      <w:bCs/>
      <w:sz w:val="28"/>
      <w:u w:val="single"/>
    </w:rPr>
  </w:style>
  <w:style w:type="paragraph" w:styleId="53">
    <w:name w:val="index 7"/>
    <w:basedOn w:val="1"/>
    <w:next w:val="1"/>
    <w:semiHidden/>
    <w:qFormat/>
    <w:uiPriority w:val="0"/>
    <w:pPr>
      <w:ind w:left="1200"/>
    </w:pPr>
  </w:style>
  <w:style w:type="paragraph" w:styleId="54">
    <w:name w:val="index 9"/>
    <w:basedOn w:val="1"/>
    <w:next w:val="1"/>
    <w:semiHidden/>
    <w:qFormat/>
    <w:uiPriority w:val="0"/>
    <w:pPr>
      <w:ind w:left="1600"/>
    </w:pPr>
  </w:style>
  <w:style w:type="paragraph" w:styleId="55">
    <w:name w:val="table of figures"/>
    <w:basedOn w:val="1"/>
    <w:next w:val="1"/>
    <w:semiHidden/>
    <w:qFormat/>
    <w:uiPriority w:val="0"/>
    <w:pPr>
      <w:ind w:left="840" w:hanging="420"/>
    </w:pPr>
  </w:style>
  <w:style w:type="paragraph" w:styleId="56">
    <w:name w:val="toc 2"/>
    <w:basedOn w:val="1"/>
    <w:next w:val="1"/>
    <w:qFormat/>
    <w:uiPriority w:val="39"/>
    <w:pPr>
      <w:tabs>
        <w:tab w:val="right" w:leader="dot" w:pos="9450"/>
      </w:tabs>
      <w:spacing w:line="400" w:lineRule="exact"/>
      <w:ind w:left="250"/>
      <w:jc w:val="left"/>
    </w:pPr>
    <w:rPr>
      <w:bCs/>
      <w:smallCaps/>
      <w:sz w:val="24"/>
      <w:szCs w:val="24"/>
    </w:rPr>
  </w:style>
  <w:style w:type="paragraph" w:styleId="57">
    <w:name w:val="toc 9"/>
    <w:basedOn w:val="1"/>
    <w:next w:val="1"/>
    <w:qFormat/>
    <w:uiPriority w:val="0"/>
    <w:pPr>
      <w:ind w:left="1680"/>
      <w:jc w:val="left"/>
    </w:pPr>
    <w:rPr>
      <w:szCs w:val="21"/>
    </w:rPr>
  </w:style>
  <w:style w:type="paragraph" w:styleId="58">
    <w:name w:val="Body Text 2"/>
    <w:basedOn w:val="1"/>
    <w:link w:val="314"/>
    <w:qFormat/>
    <w:uiPriority w:val="99"/>
    <w:pPr>
      <w:spacing w:after="120" w:line="480" w:lineRule="auto"/>
    </w:pPr>
  </w:style>
  <w:style w:type="paragraph" w:styleId="59">
    <w:name w:val="HTML Preformatted"/>
    <w:basedOn w:val="1"/>
    <w:link w:val="2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4"/>
    </w:rPr>
  </w:style>
  <w:style w:type="paragraph" w:styleId="60">
    <w:name w:val="Normal (Web)"/>
    <w:basedOn w:val="1"/>
    <w:link w:val="790"/>
    <w:unhideWhenUsed/>
    <w:qFormat/>
    <w:uiPriority w:val="0"/>
    <w:pPr>
      <w:widowControl/>
      <w:spacing w:before="100" w:beforeAutospacing="1" w:after="100" w:afterAutospacing="1"/>
      <w:jc w:val="left"/>
    </w:pPr>
    <w:rPr>
      <w:rFonts w:ascii="宋体" w:hAnsi="宋体" w:eastAsia="楷体_GB2312" w:cs="宋体"/>
      <w:sz w:val="24"/>
    </w:rPr>
  </w:style>
  <w:style w:type="paragraph" w:styleId="61">
    <w:name w:val="index 2"/>
    <w:basedOn w:val="1"/>
    <w:next w:val="1"/>
    <w:semiHidden/>
    <w:qFormat/>
    <w:uiPriority w:val="0"/>
    <w:pPr>
      <w:ind w:left="200"/>
    </w:pPr>
  </w:style>
  <w:style w:type="paragraph" w:styleId="62">
    <w:name w:val="Title"/>
    <w:basedOn w:val="1"/>
    <w:next w:val="1"/>
    <w:link w:val="271"/>
    <w:qFormat/>
    <w:uiPriority w:val="0"/>
    <w:pPr>
      <w:spacing w:before="240" w:after="60"/>
      <w:jc w:val="center"/>
      <w:outlineLvl w:val="0"/>
    </w:pPr>
    <w:rPr>
      <w:rFonts w:ascii="Cambria" w:hAnsi="Cambria"/>
      <w:b/>
      <w:bCs/>
      <w:sz w:val="32"/>
      <w:szCs w:val="32"/>
    </w:rPr>
  </w:style>
  <w:style w:type="paragraph" w:styleId="63">
    <w:name w:val="annotation subject"/>
    <w:basedOn w:val="21"/>
    <w:next w:val="21"/>
    <w:link w:val="296"/>
    <w:qFormat/>
    <w:uiPriority w:val="99"/>
    <w:rPr>
      <w:rFonts w:eastAsia="楷体_GB2312"/>
      <w:b/>
      <w:bCs/>
      <w:sz w:val="26"/>
    </w:rPr>
  </w:style>
  <w:style w:type="paragraph" w:styleId="64">
    <w:name w:val="Body Text First Indent"/>
    <w:basedOn w:val="24"/>
    <w:next w:val="65"/>
    <w:link w:val="239"/>
    <w:qFormat/>
    <w:uiPriority w:val="0"/>
    <w:pPr>
      <w:spacing w:after="120"/>
      <w:ind w:firstLine="420"/>
    </w:pPr>
    <w:rPr>
      <w:rFonts w:ascii="Tahoma" w:hAnsi="Tahoma" w:eastAsia="Times New Roman"/>
      <w:sz w:val="21"/>
      <w:szCs w:val="24"/>
    </w:rPr>
  </w:style>
  <w:style w:type="paragraph" w:styleId="65">
    <w:name w:val="Body Text First Indent 2"/>
    <w:basedOn w:val="25"/>
    <w:next w:val="1"/>
    <w:link w:val="273"/>
    <w:qFormat/>
    <w:uiPriority w:val="0"/>
    <w:pPr>
      <w:spacing w:after="120" w:line="240" w:lineRule="auto"/>
      <w:ind w:left="420" w:firstLine="420"/>
    </w:pPr>
    <w:rPr>
      <w:rFonts w:ascii="Times New Roman"/>
      <w:sz w:val="21"/>
      <w:szCs w:val="24"/>
    </w:rPr>
  </w:style>
  <w:style w:type="table" w:styleId="67">
    <w:name w:val="Table Grid"/>
    <w:basedOn w:val="6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
    <w:name w:val="Strong"/>
    <w:qFormat/>
    <w:uiPriority w:val="0"/>
    <w:rPr>
      <w:b/>
      <w:bCs/>
    </w:rPr>
  </w:style>
  <w:style w:type="character" w:styleId="70">
    <w:name w:val="endnote reference"/>
    <w:basedOn w:val="68"/>
    <w:semiHidden/>
    <w:unhideWhenUsed/>
    <w:qFormat/>
    <w:uiPriority w:val="99"/>
    <w:rPr>
      <w:vertAlign w:val="superscript"/>
    </w:rPr>
  </w:style>
  <w:style w:type="character" w:styleId="71">
    <w:name w:val="page number"/>
    <w:basedOn w:val="68"/>
    <w:qFormat/>
    <w:uiPriority w:val="0"/>
  </w:style>
  <w:style w:type="character" w:styleId="72">
    <w:name w:val="FollowedHyperlink"/>
    <w:qFormat/>
    <w:uiPriority w:val="99"/>
    <w:rPr>
      <w:color w:val="333333"/>
      <w:u w:val="none"/>
    </w:rPr>
  </w:style>
  <w:style w:type="character" w:styleId="73">
    <w:name w:val="Emphasis"/>
    <w:qFormat/>
    <w:uiPriority w:val="20"/>
    <w:rPr>
      <w:i/>
      <w:iCs/>
    </w:rPr>
  </w:style>
  <w:style w:type="character" w:styleId="74">
    <w:name w:val="line number"/>
    <w:qFormat/>
    <w:uiPriority w:val="0"/>
    <w:rPr>
      <w:rFonts w:ascii="Tahoma" w:hAnsi="Tahoma" w:eastAsia="宋体"/>
      <w:sz w:val="24"/>
      <w:szCs w:val="24"/>
      <w:lang w:val="en-US" w:eastAsia="zh-CN" w:bidi="ar-SA"/>
    </w:rPr>
  </w:style>
  <w:style w:type="character" w:styleId="75">
    <w:name w:val="HTML Typewriter"/>
    <w:qFormat/>
    <w:uiPriority w:val="0"/>
    <w:rPr>
      <w:rFonts w:ascii="黑体" w:hAnsi="Courier New" w:eastAsia="黑体"/>
      <w:sz w:val="14"/>
    </w:rPr>
  </w:style>
  <w:style w:type="character" w:styleId="76">
    <w:name w:val="Hyperlink"/>
    <w:qFormat/>
    <w:uiPriority w:val="99"/>
    <w:rPr>
      <w:color w:val="333333"/>
      <w:u w:val="none"/>
    </w:rPr>
  </w:style>
  <w:style w:type="character" w:styleId="77">
    <w:name w:val="annotation reference"/>
    <w:qFormat/>
    <w:uiPriority w:val="0"/>
    <w:rPr>
      <w:sz w:val="21"/>
      <w:szCs w:val="21"/>
    </w:rPr>
  </w:style>
  <w:style w:type="character" w:styleId="78">
    <w:name w:val="footnote reference"/>
    <w:qFormat/>
    <w:uiPriority w:val="0"/>
    <w:rPr>
      <w:vertAlign w:val="superscript"/>
    </w:rPr>
  </w:style>
  <w:style w:type="paragraph" w:customStyle="1" w:styleId="79">
    <w:name w:val="样式2"/>
    <w:basedOn w:val="2"/>
    <w:qFormat/>
    <w:uiPriority w:val="0"/>
    <w:pPr>
      <w:keepLines/>
      <w:tabs>
        <w:tab w:val="clear" w:pos="200"/>
      </w:tabs>
      <w:spacing w:before="340" w:after="330" w:line="578" w:lineRule="atLeast"/>
      <w:jc w:val="both"/>
    </w:pPr>
    <w:rPr>
      <w:bCs/>
      <w:sz w:val="44"/>
      <w:szCs w:val="44"/>
    </w:rPr>
  </w:style>
  <w:style w:type="paragraph" w:customStyle="1" w:styleId="80">
    <w:name w:val="文档结构图1"/>
    <w:qFormat/>
    <w:uiPriority w:val="0"/>
    <w:pPr>
      <w:widowControl w:val="0"/>
      <w:shd w:val="clear" w:color="auto" w:fill="000080"/>
      <w:jc w:val="both"/>
    </w:pPr>
    <w:rPr>
      <w:rFonts w:hint="default" w:ascii="Times New Roman" w:hAnsi="Times New Roman" w:eastAsia="宋体" w:cs="Times New Roman"/>
      <w:sz w:val="21"/>
      <w:lang w:val="en-US" w:eastAsia="zh-CN" w:bidi="ar-SA"/>
    </w:rPr>
  </w:style>
  <w:style w:type="character" w:customStyle="1" w:styleId="81">
    <w:name w:val="Heading 1 Char"/>
    <w:basedOn w:val="68"/>
    <w:qFormat/>
    <w:uiPriority w:val="9"/>
    <w:rPr>
      <w:rFonts w:ascii="Arial" w:hAnsi="Arial" w:eastAsia="Arial" w:cs="Arial"/>
      <w:sz w:val="40"/>
      <w:szCs w:val="40"/>
    </w:rPr>
  </w:style>
  <w:style w:type="character" w:customStyle="1" w:styleId="82">
    <w:name w:val="Heading 2 Char"/>
    <w:basedOn w:val="68"/>
    <w:qFormat/>
    <w:uiPriority w:val="9"/>
    <w:rPr>
      <w:rFonts w:ascii="Arial" w:hAnsi="Arial" w:eastAsia="Arial" w:cs="Arial"/>
      <w:sz w:val="34"/>
    </w:rPr>
  </w:style>
  <w:style w:type="character" w:customStyle="1" w:styleId="83">
    <w:name w:val="Heading 3 Char"/>
    <w:basedOn w:val="68"/>
    <w:qFormat/>
    <w:uiPriority w:val="9"/>
    <w:rPr>
      <w:rFonts w:ascii="Arial" w:hAnsi="Arial" w:eastAsia="Arial" w:cs="Arial"/>
      <w:sz w:val="30"/>
      <w:szCs w:val="30"/>
    </w:rPr>
  </w:style>
  <w:style w:type="character" w:customStyle="1" w:styleId="84">
    <w:name w:val="Heading 4 Char"/>
    <w:basedOn w:val="68"/>
    <w:qFormat/>
    <w:uiPriority w:val="9"/>
    <w:rPr>
      <w:rFonts w:ascii="Arial" w:hAnsi="Arial" w:eastAsia="Arial" w:cs="Arial"/>
      <w:b/>
      <w:bCs/>
      <w:sz w:val="26"/>
      <w:szCs w:val="26"/>
    </w:rPr>
  </w:style>
  <w:style w:type="character" w:customStyle="1" w:styleId="85">
    <w:name w:val="Heading 5 Char"/>
    <w:basedOn w:val="68"/>
    <w:qFormat/>
    <w:uiPriority w:val="9"/>
    <w:rPr>
      <w:rFonts w:ascii="Arial" w:hAnsi="Arial" w:eastAsia="Arial" w:cs="Arial"/>
      <w:b/>
      <w:bCs/>
      <w:sz w:val="24"/>
      <w:szCs w:val="24"/>
    </w:rPr>
  </w:style>
  <w:style w:type="character" w:customStyle="1" w:styleId="86">
    <w:name w:val="Heading 6 Char"/>
    <w:basedOn w:val="68"/>
    <w:qFormat/>
    <w:uiPriority w:val="9"/>
    <w:rPr>
      <w:rFonts w:ascii="Arial" w:hAnsi="Arial" w:eastAsia="Arial" w:cs="Arial"/>
      <w:b/>
      <w:bCs/>
      <w:sz w:val="22"/>
      <w:szCs w:val="22"/>
    </w:rPr>
  </w:style>
  <w:style w:type="character" w:customStyle="1" w:styleId="87">
    <w:name w:val="Heading 7 Char"/>
    <w:basedOn w:val="68"/>
    <w:qFormat/>
    <w:uiPriority w:val="9"/>
    <w:rPr>
      <w:rFonts w:ascii="Arial" w:hAnsi="Arial" w:eastAsia="Arial" w:cs="Arial"/>
      <w:b/>
      <w:bCs/>
      <w:i/>
      <w:iCs/>
      <w:sz w:val="22"/>
      <w:szCs w:val="22"/>
    </w:rPr>
  </w:style>
  <w:style w:type="character" w:customStyle="1" w:styleId="88">
    <w:name w:val="Heading 8 Char"/>
    <w:basedOn w:val="68"/>
    <w:qFormat/>
    <w:uiPriority w:val="9"/>
    <w:rPr>
      <w:rFonts w:ascii="Arial" w:hAnsi="Arial" w:eastAsia="Arial" w:cs="Arial"/>
      <w:i/>
      <w:iCs/>
      <w:sz w:val="22"/>
      <w:szCs w:val="22"/>
    </w:rPr>
  </w:style>
  <w:style w:type="character" w:customStyle="1" w:styleId="89">
    <w:name w:val="Heading 9 Char"/>
    <w:basedOn w:val="68"/>
    <w:qFormat/>
    <w:uiPriority w:val="9"/>
    <w:rPr>
      <w:rFonts w:ascii="Arial" w:hAnsi="Arial" w:eastAsia="Arial" w:cs="Arial"/>
      <w:i/>
      <w:iCs/>
      <w:sz w:val="21"/>
      <w:szCs w:val="21"/>
    </w:rPr>
  </w:style>
  <w:style w:type="character" w:customStyle="1" w:styleId="90">
    <w:name w:val="Title Char"/>
    <w:basedOn w:val="68"/>
    <w:qFormat/>
    <w:uiPriority w:val="10"/>
    <w:rPr>
      <w:sz w:val="48"/>
      <w:szCs w:val="48"/>
    </w:rPr>
  </w:style>
  <w:style w:type="character" w:customStyle="1" w:styleId="91">
    <w:name w:val="Subtitle Char"/>
    <w:basedOn w:val="68"/>
    <w:qFormat/>
    <w:uiPriority w:val="11"/>
    <w:rPr>
      <w:sz w:val="24"/>
      <w:szCs w:val="24"/>
    </w:rPr>
  </w:style>
  <w:style w:type="paragraph" w:styleId="92">
    <w:name w:val="Quote"/>
    <w:basedOn w:val="1"/>
    <w:next w:val="1"/>
    <w:link w:val="93"/>
    <w:qFormat/>
    <w:uiPriority w:val="29"/>
    <w:pPr>
      <w:ind w:left="720" w:right="720"/>
    </w:pPr>
    <w:rPr>
      <w:i/>
    </w:rPr>
  </w:style>
  <w:style w:type="character" w:customStyle="1" w:styleId="93">
    <w:name w:val="Quote Char"/>
    <w:link w:val="92"/>
    <w:qFormat/>
    <w:uiPriority w:val="29"/>
    <w:rPr>
      <w:i/>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95">
    <w:name w:val="Intense Quote Char"/>
    <w:link w:val="94"/>
    <w:qFormat/>
    <w:uiPriority w:val="30"/>
    <w:rPr>
      <w:i/>
    </w:rPr>
  </w:style>
  <w:style w:type="character" w:customStyle="1" w:styleId="96">
    <w:name w:val="Header Char"/>
    <w:basedOn w:val="68"/>
    <w:qFormat/>
    <w:uiPriority w:val="99"/>
  </w:style>
  <w:style w:type="character" w:customStyle="1" w:styleId="97">
    <w:name w:val="Footer Char"/>
    <w:basedOn w:val="68"/>
    <w:qFormat/>
    <w:uiPriority w:val="99"/>
  </w:style>
  <w:style w:type="character" w:customStyle="1" w:styleId="98">
    <w:name w:val="Caption Char"/>
    <w:qFormat/>
    <w:uiPriority w:val="99"/>
  </w:style>
  <w:style w:type="table" w:customStyle="1" w:styleId="99">
    <w:name w:val="Table Grid Light"/>
    <w:basedOn w:val="6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0">
    <w:name w:val="Plain Table 1"/>
    <w:basedOn w:val="6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1">
    <w:name w:val="Plain Table 2"/>
    <w:basedOn w:val="6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2">
    <w:name w:val="Plain Table 3"/>
    <w:basedOn w:val="6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Plain Table 4"/>
    <w:basedOn w:val="6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Plain Table 5"/>
    <w:basedOn w:val="6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Grid Table 1 Light"/>
    <w:basedOn w:val="6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6">
    <w:name w:val="Grid Table 1 Light - Accent 1"/>
    <w:basedOn w:val="6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7">
    <w:name w:val="Grid Table 1 Light - Accent 2"/>
    <w:basedOn w:val="6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8">
    <w:name w:val="Grid Table 1 Light - Accent 3"/>
    <w:basedOn w:val="6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9">
    <w:name w:val="Grid Table 1 Light - Accent 4"/>
    <w:basedOn w:val="6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0">
    <w:name w:val="Grid Table 1 Light - Accent 5"/>
    <w:basedOn w:val="6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1">
    <w:name w:val="Grid Table 1 Light - Accent 6"/>
    <w:basedOn w:val="6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2">
    <w:name w:val="Grid Table 2"/>
    <w:basedOn w:val="6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2 - Accent 1"/>
    <w:basedOn w:val="6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2 - Accent 2"/>
    <w:basedOn w:val="6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2 - Accent 3"/>
    <w:basedOn w:val="6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2 - Accent 4"/>
    <w:basedOn w:val="6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2 - Accent 5"/>
    <w:basedOn w:val="6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2 - Accent 6"/>
    <w:basedOn w:val="6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3"/>
    <w:basedOn w:val="6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3 - Accent 1"/>
    <w:basedOn w:val="6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3 - Accent 2"/>
    <w:basedOn w:val="6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3 - Accent 3"/>
    <w:basedOn w:val="6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3 - Accent 4"/>
    <w:basedOn w:val="6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3 - Accent 5"/>
    <w:basedOn w:val="6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3 - Accent 6"/>
    <w:basedOn w:val="6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4"/>
    <w:basedOn w:val="6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4 - Accent 1"/>
    <w:basedOn w:val="6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8">
    <w:name w:val="Grid Table 4 - Accent 2"/>
    <w:basedOn w:val="6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4 - Accent 3"/>
    <w:basedOn w:val="6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4 - Accent 4"/>
    <w:basedOn w:val="6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4 - Accent 5"/>
    <w:basedOn w:val="6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4 - Accent 6"/>
    <w:basedOn w:val="6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Grid Table 5 Dark"/>
    <w:basedOn w:val="6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4">
    <w:name w:val="Grid Table 5 Dark- Accent 1"/>
    <w:basedOn w:val="6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5">
    <w:name w:val="Grid Table 5 Dark - Accent 2"/>
    <w:basedOn w:val="6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6">
    <w:name w:val="Grid Table 5 Dark - Accent 3"/>
    <w:basedOn w:val="6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7">
    <w:name w:val="Grid Table 5 Dark- Accent 4"/>
    <w:basedOn w:val="6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8">
    <w:name w:val="Grid Table 5 Dark - Accent 5"/>
    <w:basedOn w:val="6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9">
    <w:name w:val="Grid Table 5 Dark - Accent 6"/>
    <w:basedOn w:val="6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0">
    <w:name w:val="Grid Table 6 Colorful"/>
    <w:basedOn w:val="6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6 Colorful - Accent 1"/>
    <w:basedOn w:val="6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6 Colorful - Accent 2"/>
    <w:basedOn w:val="6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6 Colorful - Accent 3"/>
    <w:basedOn w:val="6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4">
    <w:name w:val="Grid Table 6 Colorful - Accent 4"/>
    <w:basedOn w:val="6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6 Colorful - Accent 5"/>
    <w:basedOn w:val="6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6 Colorful - Accent 6"/>
    <w:basedOn w:val="6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7">
    <w:name w:val="Grid Table 7 Colorful"/>
    <w:basedOn w:val="6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7 Colorful - Accent 1"/>
    <w:basedOn w:val="6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basedOn w:val="6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basedOn w:val="6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51">
    <w:name w:val="Grid Table 7 Colorful - Accent 4"/>
    <w:basedOn w:val="6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basedOn w:val="6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7 Colorful - Accent 6"/>
    <w:basedOn w:val="6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4">
    <w:name w:val="List Table 1 Light"/>
    <w:basedOn w:val="6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5">
    <w:name w:val="List Table 1 Light - Accent 1"/>
    <w:basedOn w:val="6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basedOn w:val="6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basedOn w:val="6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basedOn w:val="6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basedOn w:val="6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basedOn w:val="6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List Table 2"/>
    <w:basedOn w:val="6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2 - Accent 1"/>
    <w:basedOn w:val="6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basedOn w:val="6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basedOn w:val="6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basedOn w:val="6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basedOn w:val="6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basedOn w:val="6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3"/>
    <w:basedOn w:val="6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9">
    <w:name w:val="List Table 3 - Accent 1"/>
    <w:basedOn w:val="6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0">
    <w:name w:val="List Table 3 - Accent 2"/>
    <w:basedOn w:val="6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1">
    <w:name w:val="List Table 3 - Accent 3"/>
    <w:basedOn w:val="6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2">
    <w:name w:val="List Table 3 - Accent 4"/>
    <w:basedOn w:val="6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3">
    <w:name w:val="List Table 3 - Accent 5"/>
    <w:basedOn w:val="6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4">
    <w:name w:val="List Table 3 - Accent 6"/>
    <w:basedOn w:val="6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5">
    <w:name w:val="List Table 4"/>
    <w:basedOn w:val="6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4 - Accent 1"/>
    <w:basedOn w:val="6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basedOn w:val="6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basedOn w:val="6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basedOn w:val="6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basedOn w:val="6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basedOn w:val="6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List Table 5 Dark"/>
    <w:basedOn w:val="6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3">
    <w:name w:val="List Table 5 Dark - Accent 1"/>
    <w:basedOn w:val="6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4">
    <w:name w:val="List Table 5 Dark - Accent 2"/>
    <w:basedOn w:val="6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5">
    <w:name w:val="List Table 5 Dark - Accent 3"/>
    <w:basedOn w:val="6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6">
    <w:name w:val="List Table 5 Dark - Accent 4"/>
    <w:basedOn w:val="6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7">
    <w:name w:val="List Table 5 Dark - Accent 5"/>
    <w:basedOn w:val="6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8">
    <w:name w:val="List Table 5 Dark - Accent 6"/>
    <w:basedOn w:val="6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9">
    <w:name w:val="List Table 6 Colorful"/>
    <w:basedOn w:val="6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0">
    <w:name w:val="List Table 6 Colorful - Accent 1"/>
    <w:basedOn w:val="6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6 Colorful - Accent 2"/>
    <w:basedOn w:val="6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basedOn w:val="6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basedOn w:val="6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basedOn w:val="6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basedOn w:val="6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st Table 7 Colorful"/>
    <w:basedOn w:val="6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7">
    <w:name w:val="List Table 7 Colorful - Accent 1"/>
    <w:basedOn w:val="6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7 Colorful - Accent 2"/>
    <w:basedOn w:val="6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basedOn w:val="6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basedOn w:val="6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basedOn w:val="6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basedOn w:val="6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ned - Accent"/>
    <w:basedOn w:val="6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basedOn w:val="6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basedOn w:val="6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basedOn w:val="6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basedOn w:val="6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basedOn w:val="6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basedOn w:val="6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basedOn w:val="6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basedOn w:val="6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basedOn w:val="6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basedOn w:val="6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basedOn w:val="6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basedOn w:val="6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basedOn w:val="6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basedOn w:val="6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basedOn w:val="6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basedOn w:val="6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basedOn w:val="6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basedOn w:val="6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basedOn w:val="6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basedOn w:val="6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Footnote Text Char"/>
    <w:link w:val="50"/>
    <w:qFormat/>
    <w:uiPriority w:val="99"/>
    <w:rPr>
      <w:sz w:val="18"/>
    </w:rPr>
  </w:style>
  <w:style w:type="character" w:customStyle="1" w:styleId="225">
    <w:name w:val="Endnote Text Char"/>
    <w:link w:val="39"/>
    <w:qFormat/>
    <w:uiPriority w:val="99"/>
    <w:rPr>
      <w:sz w:val="20"/>
    </w:rPr>
  </w:style>
  <w:style w:type="paragraph" w:customStyle="1" w:styleId="226">
    <w:name w:val="TOC Heading"/>
    <w:unhideWhenUsed/>
    <w:qFormat/>
    <w:uiPriority w:val="39"/>
    <w:rPr>
      <w:rFonts w:hint="default" w:ascii="Times New Roman" w:hAnsi="Times New Roman" w:eastAsia="宋体" w:cs="Times New Roman"/>
    </w:rPr>
  </w:style>
  <w:style w:type="paragraph" w:customStyle="1" w:styleId="227">
    <w:name w:val="段"/>
    <w:qFormat/>
    <w:uiPriority w:val="0"/>
    <w:pPr>
      <w:ind w:firstLine="200"/>
      <w:jc w:val="both"/>
    </w:pPr>
    <w:rPr>
      <w:rFonts w:hint="default" w:ascii="宋体" w:hAnsi="Times New Roman" w:eastAsia="宋体" w:cs="Times New Roman"/>
      <w:sz w:val="21"/>
      <w:lang w:val="en-US" w:eastAsia="zh-CN" w:bidi="ar-SA"/>
    </w:rPr>
  </w:style>
  <w:style w:type="character" w:customStyle="1" w:styleId="228">
    <w:name w:val="签名 字符"/>
    <w:link w:val="43"/>
    <w:qFormat/>
    <w:uiPriority w:val="0"/>
    <w:rPr>
      <w:rFonts w:eastAsia="仿宋_GB2312"/>
      <w:sz w:val="24"/>
    </w:rPr>
  </w:style>
  <w:style w:type="character" w:customStyle="1" w:styleId="229">
    <w:name w:val="A8"/>
    <w:qFormat/>
    <w:uiPriority w:val="0"/>
    <w:rPr>
      <w:rFonts w:ascii="华文细黑." w:eastAsia="华文细黑." w:cs="华文细黑."/>
      <w:color w:val="000000"/>
      <w:sz w:val="14"/>
      <w:szCs w:val="14"/>
    </w:rPr>
  </w:style>
  <w:style w:type="character" w:customStyle="1" w:styleId="230">
    <w:name w:val="标题 3 字符1"/>
    <w:qFormat/>
    <w:uiPriority w:val="0"/>
    <w:rPr>
      <w:rFonts w:ascii="宋体" w:hAnsi="宋体" w:eastAsia="宋体"/>
      <w:sz w:val="28"/>
      <w:lang w:val="en-US" w:eastAsia="zh-CN" w:bidi="ar-SA"/>
    </w:rPr>
  </w:style>
  <w:style w:type="character" w:customStyle="1" w:styleId="231">
    <w:name w:val="正文缩进1 Char"/>
    <w:qFormat/>
    <w:uiPriority w:val="0"/>
    <w:rPr>
      <w:rFonts w:ascii="Times New Roman" w:hAnsi="Times New Roman" w:eastAsia="楷体_GB2312" w:cs="Times New Roman"/>
      <w:sz w:val="24"/>
      <w:szCs w:val="20"/>
    </w:rPr>
  </w:style>
  <w:style w:type="character" w:customStyle="1" w:styleId="232">
    <w:name w:val="ih151"/>
    <w:qFormat/>
    <w:uiPriority w:val="0"/>
    <w:rPr>
      <w:color w:val="666666"/>
      <w:sz w:val="18"/>
      <w:szCs w:val="18"/>
      <w:u w:val="none"/>
    </w:rPr>
  </w:style>
  <w:style w:type="character" w:customStyle="1" w:styleId="233">
    <w:name w:val="02 标题 Char"/>
    <w:link w:val="234"/>
    <w:qFormat/>
    <w:uiPriority w:val="0"/>
    <w:rPr>
      <w:b/>
      <w:sz w:val="21"/>
      <w:szCs w:val="21"/>
    </w:rPr>
  </w:style>
  <w:style w:type="paragraph" w:customStyle="1" w:styleId="234">
    <w:name w:val="02 标题"/>
    <w:basedOn w:val="1"/>
    <w:link w:val="233"/>
    <w:qFormat/>
    <w:uiPriority w:val="0"/>
    <w:pPr>
      <w:keepNext/>
      <w:widowControl/>
      <w:spacing w:line="360" w:lineRule="auto"/>
      <w:outlineLvl w:val="0"/>
    </w:pPr>
    <w:rPr>
      <w:b/>
      <w:szCs w:val="21"/>
    </w:rPr>
  </w:style>
  <w:style w:type="character" w:customStyle="1" w:styleId="235">
    <w:name w:val="3级方案标题 字符"/>
    <w:link w:val="236"/>
    <w:qFormat/>
    <w:uiPriority w:val="0"/>
    <w:rPr>
      <w:rFonts w:ascii="宋体" w:hAnsi="宋体"/>
      <w:b/>
      <w:color w:val="000000"/>
      <w:sz w:val="32"/>
      <w:szCs w:val="32"/>
    </w:rPr>
  </w:style>
  <w:style w:type="paragraph" w:customStyle="1" w:styleId="236">
    <w:name w:val="3级方案标题"/>
    <w:basedOn w:val="4"/>
    <w:link w:val="235"/>
    <w:qFormat/>
    <w:uiPriority w:val="0"/>
    <w:pPr>
      <w:keepLines/>
      <w:tabs>
        <w:tab w:val="left" w:pos="2717"/>
        <w:tab w:val="left" w:pos="3556"/>
      </w:tabs>
      <w:spacing w:before="100" w:beforeAutospacing="1" w:after="100" w:afterAutospacing="1" w:line="360" w:lineRule="auto"/>
      <w:ind w:left="1260" w:hanging="420"/>
      <w:jc w:val="both"/>
    </w:pPr>
    <w:rPr>
      <w:b/>
      <w:color w:val="000000"/>
      <w:sz w:val="32"/>
      <w:szCs w:val="32"/>
    </w:rPr>
  </w:style>
  <w:style w:type="character" w:customStyle="1" w:styleId="237">
    <w:name w:val="页眉 字符2"/>
    <w:link w:val="42"/>
    <w:qFormat/>
    <w:uiPriority w:val="99"/>
    <w:rPr>
      <w:rFonts w:eastAsia="宋体"/>
      <w:sz w:val="18"/>
      <w:lang w:val="en-US" w:eastAsia="zh-CN" w:bidi="ar-SA"/>
    </w:rPr>
  </w:style>
  <w:style w:type="character" w:customStyle="1" w:styleId="238">
    <w:name w:val="正文文本缩进 3 字符1"/>
    <w:link w:val="52"/>
    <w:qFormat/>
    <w:uiPriority w:val="0"/>
    <w:rPr>
      <w:b/>
      <w:bCs/>
      <w:sz w:val="28"/>
      <w:u w:val="single"/>
    </w:rPr>
  </w:style>
  <w:style w:type="character" w:customStyle="1" w:styleId="239">
    <w:name w:val="正文文本首行缩进 字符"/>
    <w:basedOn w:val="240"/>
    <w:link w:val="64"/>
    <w:qFormat/>
    <w:uiPriority w:val="0"/>
    <w:rPr>
      <w:rFonts w:ascii="Tahoma" w:hAnsi="Tahoma" w:eastAsia="Times New Roman"/>
      <w:sz w:val="21"/>
      <w:szCs w:val="24"/>
      <w:lang w:val="en-US" w:eastAsia="zh-CN" w:bidi="ar-SA"/>
    </w:rPr>
  </w:style>
  <w:style w:type="character" w:customStyle="1" w:styleId="240">
    <w:name w:val="正文文本 字符"/>
    <w:qFormat/>
    <w:uiPriority w:val="0"/>
    <w:rPr>
      <w:rFonts w:ascii="Tahoma" w:hAnsi="Tahoma" w:eastAsia="Times New Roman"/>
      <w:sz w:val="21"/>
      <w:szCs w:val="24"/>
      <w:lang w:val="en-US" w:eastAsia="zh-CN" w:bidi="ar-SA"/>
    </w:rPr>
  </w:style>
  <w:style w:type="character" w:customStyle="1" w:styleId="241">
    <w:name w:val="标题 9 字符1"/>
    <w:link w:val="10"/>
    <w:qFormat/>
    <w:uiPriority w:val="0"/>
    <w:rPr>
      <w:b/>
      <w:bCs/>
      <w:sz w:val="21"/>
      <w:szCs w:val="24"/>
    </w:rPr>
  </w:style>
  <w:style w:type="character" w:customStyle="1" w:styleId="242">
    <w:name w:val="Char Char9"/>
    <w:qFormat/>
    <w:uiPriority w:val="0"/>
    <w:rPr>
      <w:sz w:val="18"/>
      <w:szCs w:val="18"/>
    </w:rPr>
  </w:style>
  <w:style w:type="character" w:customStyle="1" w:styleId="243">
    <w:name w:val="注释标题 字符"/>
    <w:link w:val="14"/>
    <w:qFormat/>
    <w:uiPriority w:val="0"/>
    <w:rPr>
      <w:sz w:val="24"/>
      <w:szCs w:val="24"/>
    </w:rPr>
  </w:style>
  <w:style w:type="character" w:customStyle="1" w:styleId="244">
    <w:name w:val="正文缩进 Char1"/>
    <w:qFormat/>
    <w:uiPriority w:val="0"/>
    <w:rPr>
      <w:rFonts w:eastAsia="楷体_GB2312"/>
      <w:sz w:val="24"/>
    </w:rPr>
  </w:style>
  <w:style w:type="character" w:customStyle="1" w:styleId="245">
    <w:name w:val="批注框文本 字符1"/>
    <w:link w:val="40"/>
    <w:qFormat/>
    <w:uiPriority w:val="0"/>
    <w:rPr>
      <w:rFonts w:ascii="Calibri" w:hAnsi="Calibri" w:eastAsia="宋体"/>
      <w:sz w:val="18"/>
      <w:szCs w:val="18"/>
      <w:lang w:val="en-US" w:eastAsia="zh-CN" w:bidi="ar-SA"/>
    </w:rPr>
  </w:style>
  <w:style w:type="character" w:customStyle="1" w:styleId="246">
    <w:name w:val="UH正文 Char"/>
    <w:link w:val="247"/>
    <w:qFormat/>
    <w:uiPriority w:val="0"/>
    <w:rPr>
      <w:rFonts w:ascii="Arial" w:hAnsi="Arial"/>
      <w:sz w:val="24"/>
      <w:szCs w:val="21"/>
      <w:lang w:val="en-US" w:eastAsia="zh-CN" w:bidi="ar-SA"/>
    </w:rPr>
  </w:style>
  <w:style w:type="paragraph" w:customStyle="1" w:styleId="247">
    <w:name w:val="UH正文"/>
    <w:link w:val="246"/>
    <w:qFormat/>
    <w:uiPriority w:val="0"/>
    <w:pPr>
      <w:spacing w:line="360" w:lineRule="auto"/>
      <w:ind w:firstLine="200"/>
    </w:pPr>
    <w:rPr>
      <w:rFonts w:hint="default" w:ascii="Arial" w:hAnsi="Arial" w:eastAsia="宋体" w:cs="Times New Roman"/>
      <w:sz w:val="24"/>
      <w:szCs w:val="21"/>
      <w:lang w:val="en-US" w:eastAsia="zh-CN" w:bidi="ar-SA"/>
    </w:rPr>
  </w:style>
  <w:style w:type="character" w:customStyle="1" w:styleId="248">
    <w:name w:val="纯文本 字符1"/>
    <w:link w:val="33"/>
    <w:qFormat/>
    <w:uiPriority w:val="0"/>
    <w:rPr>
      <w:rFonts w:ascii="宋体" w:hAnsi="Courier New" w:eastAsia="宋体"/>
      <w:sz w:val="21"/>
      <w:lang w:val="en-US" w:eastAsia="zh-CN" w:bidi="ar-SA"/>
    </w:rPr>
  </w:style>
  <w:style w:type="character" w:customStyle="1" w:styleId="249">
    <w:name w:val="标题 7 字符1"/>
    <w:link w:val="8"/>
    <w:qFormat/>
    <w:uiPriority w:val="0"/>
    <w:rPr>
      <w:rFonts w:ascii="Arial" w:hAnsi="Arial" w:cs="Arial"/>
      <w:b/>
      <w:bCs/>
      <w:sz w:val="16"/>
      <w:szCs w:val="16"/>
    </w:rPr>
  </w:style>
  <w:style w:type="character" w:customStyle="1" w:styleId="250">
    <w:name w:val="Andy_3级 Char"/>
    <w:link w:val="251"/>
    <w:qFormat/>
    <w:uiPriority w:val="0"/>
    <w:rPr>
      <w:rFonts w:ascii="Calibri" w:hAnsi="Calibri"/>
      <w:sz w:val="24"/>
    </w:rPr>
  </w:style>
  <w:style w:type="paragraph" w:customStyle="1" w:styleId="251">
    <w:name w:val="Andy_3级"/>
    <w:basedOn w:val="1"/>
    <w:link w:val="250"/>
    <w:qFormat/>
    <w:uiPriority w:val="0"/>
    <w:pPr>
      <w:tabs>
        <w:tab w:val="left" w:pos="1260"/>
      </w:tabs>
      <w:spacing w:line="360" w:lineRule="auto"/>
      <w:ind w:left="1260" w:hanging="420"/>
    </w:pPr>
    <w:rPr>
      <w:rFonts w:ascii="Calibri" w:hAnsi="Calibri"/>
      <w:sz w:val="24"/>
    </w:rPr>
  </w:style>
  <w:style w:type="character" w:customStyle="1" w:styleId="252">
    <w:name w:val="Plain Text Char1"/>
    <w:link w:val="253"/>
    <w:qFormat/>
    <w:uiPriority w:val="0"/>
    <w:rPr>
      <w:rFonts w:ascii="宋体" w:hAnsi="Courier New" w:eastAsia="楷体_GB2312"/>
      <w:sz w:val="26"/>
    </w:rPr>
  </w:style>
  <w:style w:type="paragraph" w:customStyle="1" w:styleId="253">
    <w:name w:val="纯文本1"/>
    <w:basedOn w:val="1"/>
    <w:link w:val="252"/>
    <w:qFormat/>
    <w:uiPriority w:val="0"/>
    <w:rPr>
      <w:rFonts w:ascii="宋体" w:hAnsi="Courier New" w:eastAsia="楷体_GB2312"/>
      <w:sz w:val="26"/>
    </w:rPr>
  </w:style>
  <w:style w:type="character" w:customStyle="1" w:styleId="254">
    <w:name w:val="不明显参考1"/>
    <w:qFormat/>
    <w:uiPriority w:val="0"/>
    <w:rPr>
      <w:smallCaps/>
      <w:color w:val="C0504D"/>
      <w:u w:val="single"/>
    </w:rPr>
  </w:style>
  <w:style w:type="character" w:customStyle="1" w:styleId="255">
    <w:name w:val="标题 1 字符1"/>
    <w:link w:val="2"/>
    <w:qFormat/>
    <w:uiPriority w:val="0"/>
    <w:rPr>
      <w:rFonts w:ascii="宋体" w:hAnsi="宋体"/>
      <w:b/>
      <w:sz w:val="36"/>
    </w:rPr>
  </w:style>
  <w:style w:type="character" w:customStyle="1" w:styleId="256">
    <w:name w:val="样式6 Char"/>
    <w:link w:val="257"/>
    <w:qFormat/>
    <w:uiPriority w:val="0"/>
    <w:rPr>
      <w:rFonts w:ascii="Arial" w:hAnsi="Arial"/>
      <w:b/>
      <w:bCs/>
      <w:sz w:val="28"/>
      <w:szCs w:val="32"/>
    </w:rPr>
  </w:style>
  <w:style w:type="paragraph" w:customStyle="1" w:styleId="257">
    <w:name w:val="样式6"/>
    <w:basedOn w:val="3"/>
    <w:link w:val="256"/>
    <w:qFormat/>
    <w:uiPriority w:val="0"/>
    <w:pPr>
      <w:keepLines/>
      <w:jc w:val="both"/>
    </w:pPr>
    <w:rPr>
      <w:rFonts w:ascii="Arial" w:hAnsi="Arial"/>
      <w:szCs w:val="32"/>
    </w:rPr>
  </w:style>
  <w:style w:type="character" w:customStyle="1" w:styleId="258">
    <w:name w:val="*正文 Char"/>
    <w:link w:val="259"/>
    <w:qFormat/>
    <w:uiPriority w:val="0"/>
    <w:rPr>
      <w:rFonts w:ascii="宋体" w:hAnsi="宋体" w:cs="MS Gothic"/>
      <w:sz w:val="24"/>
      <w:szCs w:val="21"/>
      <w:u w:val="none"/>
    </w:rPr>
  </w:style>
  <w:style w:type="paragraph" w:customStyle="1" w:styleId="259">
    <w:name w:val="*正文"/>
    <w:basedOn w:val="1"/>
    <w:link w:val="258"/>
    <w:qFormat/>
    <w:uiPriority w:val="0"/>
    <w:pPr>
      <w:spacing w:line="360" w:lineRule="auto"/>
      <w:ind w:firstLine="480"/>
    </w:pPr>
    <w:rPr>
      <w:rFonts w:ascii="宋体" w:hAnsi="宋体"/>
      <w:sz w:val="24"/>
      <w:szCs w:val="21"/>
    </w:rPr>
  </w:style>
  <w:style w:type="character" w:customStyle="1" w:styleId="260">
    <w:name w:val="正文缩进 字符3"/>
    <w:link w:val="16"/>
    <w:qFormat/>
    <w:uiPriority w:val="0"/>
    <w:rPr>
      <w:sz w:val="21"/>
    </w:rPr>
  </w:style>
  <w:style w:type="character" w:customStyle="1" w:styleId="261">
    <w:name w:val="副标题 字符"/>
    <w:link w:val="48"/>
    <w:qFormat/>
    <w:uiPriority w:val="0"/>
    <w:rPr>
      <w:rFonts w:ascii="Cambria" w:hAnsi="Cambria" w:eastAsia="宋体"/>
      <w:b/>
      <w:bCs/>
      <w:sz w:val="32"/>
      <w:szCs w:val="32"/>
      <w:lang w:val="en-US" w:eastAsia="zh-CN" w:bidi="ar-SA"/>
    </w:rPr>
  </w:style>
  <w:style w:type="character" w:customStyle="1" w:styleId="262">
    <w:name w:val="页脚 字符2"/>
    <w:link w:val="41"/>
    <w:qFormat/>
    <w:uiPriority w:val="99"/>
    <w:rPr>
      <w:rFonts w:eastAsia="宋体"/>
      <w:sz w:val="18"/>
      <w:lang w:val="en-US" w:eastAsia="zh-CN" w:bidi="ar-SA"/>
    </w:rPr>
  </w:style>
  <w:style w:type="character" w:customStyle="1" w:styleId="263">
    <w:name w:val="王兴华的论文正文 Char"/>
    <w:link w:val="264"/>
    <w:qFormat/>
    <w:uiPriority w:val="0"/>
    <w:rPr>
      <w:rFonts w:eastAsia="宋体"/>
      <w:sz w:val="24"/>
      <w:szCs w:val="24"/>
      <w:lang w:val="en-US" w:eastAsia="zh-CN" w:bidi="ar-SA"/>
    </w:rPr>
  </w:style>
  <w:style w:type="paragraph" w:customStyle="1" w:styleId="264">
    <w:name w:val="王兴华的论文正文"/>
    <w:basedOn w:val="16"/>
    <w:link w:val="263"/>
    <w:qFormat/>
    <w:uiPriority w:val="0"/>
    <w:pPr>
      <w:spacing w:line="360" w:lineRule="auto"/>
      <w:ind w:firstLine="200"/>
    </w:pPr>
    <w:rPr>
      <w:sz w:val="24"/>
      <w:szCs w:val="24"/>
    </w:rPr>
  </w:style>
  <w:style w:type="character" w:customStyle="1" w:styleId="265">
    <w:name w:val="页眉 字符"/>
    <w:qFormat/>
    <w:uiPriority w:val="0"/>
    <w:rPr>
      <w:rFonts w:eastAsia="宋体"/>
      <w:sz w:val="18"/>
      <w:lang w:val="en-US" w:eastAsia="zh-CN" w:bidi="ar-SA"/>
    </w:rPr>
  </w:style>
  <w:style w:type="character" w:customStyle="1" w:styleId="266">
    <w:name w:val="HTML 预设格式 Char1"/>
    <w:qFormat/>
    <w:uiPriority w:val="0"/>
    <w:rPr>
      <w:rFonts w:ascii="Courier New" w:hAnsi="Courier New" w:eastAsia="楷体_GB2312" w:cs="Courier New"/>
    </w:rPr>
  </w:style>
  <w:style w:type="character" w:customStyle="1" w:styleId="267">
    <w:name w:val="标题 5 字符"/>
    <w:qFormat/>
    <w:uiPriority w:val="0"/>
    <w:rPr>
      <w:rFonts w:eastAsia="宋体"/>
      <w:b/>
      <w:bCs/>
      <w:sz w:val="28"/>
      <w:szCs w:val="28"/>
      <w:lang w:val="en-US" w:eastAsia="zh-CN" w:bidi="ar-SA"/>
    </w:rPr>
  </w:style>
  <w:style w:type="character" w:customStyle="1" w:styleId="268">
    <w:name w:val="正文首行缩进2字 Char"/>
    <w:link w:val="269"/>
    <w:qFormat/>
    <w:uiPriority w:val="0"/>
    <w:rPr>
      <w:rFonts w:eastAsia="楷体_GB2312"/>
      <w:sz w:val="24"/>
      <w:szCs w:val="24"/>
    </w:rPr>
  </w:style>
  <w:style w:type="paragraph" w:customStyle="1" w:styleId="269">
    <w:name w:val="正文首行缩进2字"/>
    <w:basedOn w:val="1"/>
    <w:link w:val="268"/>
    <w:qFormat/>
    <w:uiPriority w:val="0"/>
    <w:pPr>
      <w:spacing w:line="288" w:lineRule="auto"/>
      <w:ind w:firstLine="540"/>
    </w:pPr>
    <w:rPr>
      <w:rFonts w:eastAsia="楷体_GB2312"/>
      <w:sz w:val="24"/>
      <w:szCs w:val="24"/>
    </w:rPr>
  </w:style>
  <w:style w:type="character" w:customStyle="1" w:styleId="270">
    <w:name w:val="批注框文本 字符"/>
    <w:qFormat/>
    <w:uiPriority w:val="0"/>
    <w:rPr>
      <w:rFonts w:eastAsia="楷体_GB2312"/>
      <w:sz w:val="18"/>
      <w:szCs w:val="18"/>
      <w:lang w:bidi="ar-SA"/>
    </w:rPr>
  </w:style>
  <w:style w:type="character" w:customStyle="1" w:styleId="271">
    <w:name w:val="标题 字符"/>
    <w:link w:val="62"/>
    <w:qFormat/>
    <w:uiPriority w:val="0"/>
    <w:rPr>
      <w:rFonts w:ascii="Cambria" w:hAnsi="Cambria" w:eastAsia="宋体"/>
      <w:b/>
      <w:bCs/>
      <w:sz w:val="32"/>
      <w:szCs w:val="32"/>
      <w:lang w:val="en-US" w:eastAsia="zh-CN" w:bidi="ar-SA"/>
    </w:rPr>
  </w:style>
  <w:style w:type="character" w:customStyle="1" w:styleId="272">
    <w:name w:val="纯文本 Char"/>
    <w:qFormat/>
    <w:uiPriority w:val="0"/>
    <w:rPr>
      <w:rFonts w:ascii="宋体" w:hAnsi="Courier New" w:eastAsia="楷体_GB2312"/>
      <w:sz w:val="28"/>
      <w:lang w:val="en-US" w:eastAsia="zh-CN" w:bidi="ar-SA"/>
    </w:rPr>
  </w:style>
  <w:style w:type="character" w:customStyle="1" w:styleId="273">
    <w:name w:val="正文文本首行缩进 2 字符"/>
    <w:link w:val="65"/>
    <w:qFormat/>
    <w:uiPriority w:val="0"/>
    <w:rPr>
      <w:sz w:val="21"/>
      <w:szCs w:val="24"/>
    </w:rPr>
  </w:style>
  <w:style w:type="character" w:customStyle="1" w:styleId="274">
    <w:name w:val="表格正文 Char"/>
    <w:link w:val="275"/>
    <w:qFormat/>
    <w:uiPriority w:val="0"/>
    <w:rPr>
      <w:rFonts w:ascii="等线" w:hAnsi="等线"/>
      <w:sz w:val="21"/>
      <w:szCs w:val="21"/>
    </w:rPr>
  </w:style>
  <w:style w:type="paragraph" w:customStyle="1" w:styleId="275">
    <w:name w:val="表格正文"/>
    <w:basedOn w:val="1"/>
    <w:link w:val="274"/>
    <w:qFormat/>
    <w:uiPriority w:val="0"/>
    <w:rPr>
      <w:rFonts w:ascii="等线" w:hAnsi="等线"/>
      <w:szCs w:val="21"/>
    </w:rPr>
  </w:style>
  <w:style w:type="character" w:customStyle="1" w:styleId="276">
    <w:name w:val="HTML 预设格式 字符1"/>
    <w:link w:val="59"/>
    <w:qFormat/>
    <w:uiPriority w:val="0"/>
    <w:rPr>
      <w:rFonts w:ascii="黑体" w:hAnsi="Courier New" w:eastAsia="黑体" w:cs="Times New Roman"/>
      <w:szCs w:val="24"/>
    </w:rPr>
  </w:style>
  <w:style w:type="character" w:customStyle="1" w:styleId="277">
    <w:name w:val="Char Char2"/>
    <w:qFormat/>
    <w:uiPriority w:val="0"/>
    <w:rPr>
      <w:rFonts w:ascii="宋体" w:hAnsi="宋体" w:eastAsia="楷体_GB2312"/>
      <w:sz w:val="24"/>
      <w:lang w:val="en-US" w:eastAsia="zh-CN" w:bidi="ar-SA"/>
    </w:rPr>
  </w:style>
  <w:style w:type="character" w:customStyle="1" w:styleId="278">
    <w:name w:val="批注文字 字符1"/>
    <w:link w:val="21"/>
    <w:qFormat/>
    <w:uiPriority w:val="99"/>
    <w:rPr>
      <w:rFonts w:ascii="Calibri" w:hAnsi="Calibri"/>
      <w:sz w:val="21"/>
      <w:szCs w:val="22"/>
    </w:rPr>
  </w:style>
  <w:style w:type="character" w:customStyle="1" w:styleId="279">
    <w:name w:val="正文2 字符"/>
    <w:link w:val="280"/>
    <w:qFormat/>
    <w:uiPriority w:val="0"/>
    <w:rPr>
      <w:sz w:val="24"/>
      <w:szCs w:val="24"/>
    </w:rPr>
  </w:style>
  <w:style w:type="paragraph" w:customStyle="1" w:styleId="280">
    <w:name w:val="正文2"/>
    <w:basedOn w:val="1"/>
    <w:link w:val="279"/>
    <w:qFormat/>
    <w:uiPriority w:val="0"/>
    <w:pPr>
      <w:spacing w:line="360" w:lineRule="auto"/>
      <w:ind w:firstLine="420"/>
    </w:pPr>
    <w:rPr>
      <w:sz w:val="24"/>
      <w:szCs w:val="24"/>
    </w:rPr>
  </w:style>
  <w:style w:type="character" w:customStyle="1" w:styleId="281">
    <w:name w:val="font31"/>
    <w:qFormat/>
    <w:uiPriority w:val="0"/>
    <w:rPr>
      <w:rFonts w:hint="eastAsia" w:ascii="黑体" w:eastAsia="黑体" w:cs="黑体"/>
      <w:color w:val="000000"/>
      <w:sz w:val="20"/>
      <w:szCs w:val="20"/>
      <w:u w:val="none"/>
    </w:rPr>
  </w:style>
  <w:style w:type="character" w:customStyle="1" w:styleId="282">
    <w:name w:val="标题 8 字符1"/>
    <w:link w:val="9"/>
    <w:qFormat/>
    <w:uiPriority w:val="0"/>
    <w:rPr>
      <w:b/>
      <w:bCs/>
      <w:sz w:val="24"/>
      <w:szCs w:val="24"/>
    </w:rPr>
  </w:style>
  <w:style w:type="character" w:customStyle="1" w:styleId="283">
    <w:name w:val="正文首行缩进 Char"/>
    <w:qFormat/>
    <w:uiPriority w:val="0"/>
    <w:rPr>
      <w:rFonts w:ascii="楷体_GB2312" w:hAnsi="Arial" w:eastAsia="楷体_GB2312"/>
      <w:sz w:val="21"/>
    </w:rPr>
  </w:style>
  <w:style w:type="character" w:customStyle="1" w:styleId="284">
    <w:name w:val="正文文本缩进 2 字符"/>
    <w:link w:val="38"/>
    <w:qFormat/>
    <w:uiPriority w:val="0"/>
    <w:rPr>
      <w:sz w:val="24"/>
    </w:rPr>
  </w:style>
  <w:style w:type="character" w:customStyle="1" w:styleId="285">
    <w:name w:val="标题 6 字符1"/>
    <w:link w:val="7"/>
    <w:qFormat/>
    <w:uiPriority w:val="0"/>
    <w:rPr>
      <w:rFonts w:ascii="Cambria" w:hAnsi="Cambria" w:eastAsia="黑体"/>
      <w:b/>
      <w:bCs/>
      <w:sz w:val="28"/>
      <w:szCs w:val="24"/>
    </w:rPr>
  </w:style>
  <w:style w:type="character" w:customStyle="1" w:styleId="286">
    <w:name w:val="Char Char10"/>
    <w:qFormat/>
    <w:uiPriority w:val="0"/>
    <w:rPr>
      <w:rFonts w:ascii="Times New Roman" w:hAnsi="Times New Roman" w:eastAsia="宋体" w:cs="Times New Roman"/>
      <w:b/>
      <w:bCs/>
      <w:sz w:val="28"/>
      <w:szCs w:val="28"/>
    </w:rPr>
  </w:style>
  <w:style w:type="character" w:customStyle="1" w:styleId="287">
    <w:name w:val="标题 4 字符1"/>
    <w:link w:val="5"/>
    <w:qFormat/>
    <w:uiPriority w:val="0"/>
    <w:rPr>
      <w:b/>
      <w:bCs/>
      <w:sz w:val="18"/>
    </w:rPr>
  </w:style>
  <w:style w:type="character" w:customStyle="1" w:styleId="288">
    <w:name w:val="正文文本 字符1"/>
    <w:link w:val="24"/>
    <w:qFormat/>
    <w:uiPriority w:val="0"/>
    <w:rPr>
      <w:rFonts w:ascii="楷体_GB2312" w:hAnsi="Arial" w:eastAsia="楷体_GB2312"/>
      <w:sz w:val="28"/>
    </w:rPr>
  </w:style>
  <w:style w:type="character" w:customStyle="1" w:styleId="289">
    <w:name w:val="标题 8 字符"/>
    <w:qFormat/>
    <w:uiPriority w:val="0"/>
    <w:rPr>
      <w:rFonts w:ascii="Arial" w:hAnsi="Arial" w:eastAsia="黑体"/>
      <w:sz w:val="24"/>
      <w:szCs w:val="24"/>
      <w:lang w:val="en-US" w:eastAsia="zh-CN" w:bidi="ar-SA"/>
    </w:rPr>
  </w:style>
  <w:style w:type="character" w:customStyle="1" w:styleId="290">
    <w:name w:val="无间隔 Char"/>
    <w:link w:val="291"/>
    <w:qFormat/>
    <w:uiPriority w:val="1"/>
    <w:rPr>
      <w:rFonts w:ascii="Calibri" w:hAnsi="Calibri"/>
      <w:sz w:val="22"/>
      <w:szCs w:val="22"/>
      <w:lang w:val="en-US" w:eastAsia="zh-CN" w:bidi="ar-SA"/>
    </w:rPr>
  </w:style>
  <w:style w:type="paragraph" w:customStyle="1" w:styleId="291">
    <w:name w:val="无间隔1"/>
    <w:link w:val="290"/>
    <w:qFormat/>
    <w:uiPriority w:val="1"/>
    <w:rPr>
      <w:rFonts w:hint="default" w:ascii="Calibri" w:hAnsi="Calibri" w:eastAsia="宋体" w:cs="Times New Roman"/>
      <w:sz w:val="22"/>
      <w:szCs w:val="22"/>
      <w:lang w:val="en-US" w:eastAsia="zh-CN" w:bidi="ar-SA"/>
    </w:rPr>
  </w:style>
  <w:style w:type="character" w:customStyle="1" w:styleId="292">
    <w:name w:val="正文首行缩进 Char Char"/>
    <w:link w:val="293"/>
    <w:qFormat/>
    <w:uiPriority w:val="0"/>
    <w:rPr>
      <w:szCs w:val="24"/>
    </w:rPr>
  </w:style>
  <w:style w:type="paragraph" w:customStyle="1" w:styleId="293">
    <w:name w:val="正文首行缩进1"/>
    <w:basedOn w:val="24"/>
    <w:link w:val="292"/>
    <w:qFormat/>
    <w:uiPriority w:val="0"/>
    <w:pPr>
      <w:widowControl/>
      <w:spacing w:after="120"/>
      <w:ind w:firstLine="420"/>
    </w:pPr>
    <w:rPr>
      <w:rFonts w:ascii="Times New Roman" w:hAnsi="Times New Roman" w:eastAsia="宋体"/>
      <w:sz w:val="20"/>
      <w:szCs w:val="24"/>
    </w:rPr>
  </w:style>
  <w:style w:type="character" w:customStyle="1" w:styleId="294">
    <w:name w:val="font11"/>
    <w:qFormat/>
    <w:uiPriority w:val="0"/>
    <w:rPr>
      <w:rFonts w:hint="eastAsia" w:ascii="宋体" w:hAnsi="宋体" w:eastAsia="宋体" w:cs="宋体"/>
      <w:color w:val="000000"/>
      <w:sz w:val="20"/>
      <w:szCs w:val="20"/>
      <w:u w:val="none"/>
    </w:rPr>
  </w:style>
  <w:style w:type="character" w:customStyle="1" w:styleId="295">
    <w:name w:val="列出段落 Char1"/>
    <w:qFormat/>
    <w:uiPriority w:val="34"/>
    <w:rPr>
      <w:sz w:val="21"/>
      <w:szCs w:val="22"/>
    </w:rPr>
  </w:style>
  <w:style w:type="character" w:customStyle="1" w:styleId="296">
    <w:name w:val="批注主题 字符1"/>
    <w:link w:val="63"/>
    <w:qFormat/>
    <w:uiPriority w:val="99"/>
    <w:rPr>
      <w:rFonts w:ascii="Calibri" w:hAnsi="Calibri" w:eastAsia="楷体_GB2312"/>
      <w:b/>
      <w:bCs/>
      <w:sz w:val="26"/>
      <w:szCs w:val="22"/>
    </w:rPr>
  </w:style>
  <w:style w:type="character" w:customStyle="1" w:styleId="297">
    <w:name w:val="blue3"/>
    <w:qFormat/>
    <w:uiPriority w:val="0"/>
    <w:rPr>
      <w:color w:val="0000FF"/>
      <w:spacing w:val="270"/>
      <w:u w:val="none"/>
    </w:rPr>
  </w:style>
  <w:style w:type="character" w:customStyle="1" w:styleId="298">
    <w:name w:val="列出段落 字符"/>
    <w:link w:val="299"/>
    <w:qFormat/>
    <w:uiPriority w:val="34"/>
    <w:rPr>
      <w:sz w:val="21"/>
      <w:szCs w:val="24"/>
    </w:rPr>
  </w:style>
  <w:style w:type="paragraph" w:customStyle="1" w:styleId="299">
    <w:name w:val="列出段落1"/>
    <w:basedOn w:val="1"/>
    <w:link w:val="298"/>
    <w:qFormat/>
    <w:uiPriority w:val="34"/>
    <w:pPr>
      <w:ind w:firstLine="420"/>
    </w:pPr>
    <w:rPr>
      <w:szCs w:val="24"/>
    </w:rPr>
  </w:style>
  <w:style w:type="character" w:customStyle="1" w:styleId="300">
    <w:name w:val="标题 3 字符2"/>
    <w:link w:val="4"/>
    <w:qFormat/>
    <w:uiPriority w:val="0"/>
    <w:rPr>
      <w:rFonts w:ascii="宋体" w:hAnsi="宋体" w:eastAsia="宋体"/>
      <w:sz w:val="28"/>
      <w:lang w:val="en-US" w:eastAsia="zh-CN" w:bidi="ar-SA"/>
    </w:rPr>
  </w:style>
  <w:style w:type="character" w:customStyle="1" w:styleId="301">
    <w:name w:val="正文首行缩进 2 Char"/>
    <w:qFormat/>
    <w:uiPriority w:val="0"/>
    <w:rPr>
      <w:rFonts w:ascii="宋体" w:eastAsia="宋体"/>
      <w:sz w:val="21"/>
      <w:lang w:val="en-US" w:eastAsia="zh-CN" w:bidi="ar-SA"/>
    </w:rPr>
  </w:style>
  <w:style w:type="character" w:customStyle="1" w:styleId="302">
    <w:name w:val="标题 5 字符1"/>
    <w:link w:val="6"/>
    <w:qFormat/>
    <w:uiPriority w:val="0"/>
    <w:rPr>
      <w:rFonts w:eastAsia="宋体"/>
      <w:b/>
      <w:bCs/>
      <w:sz w:val="18"/>
      <w:lang w:val="en-US" w:eastAsia="zh-CN" w:bidi="ar-SA"/>
    </w:rPr>
  </w:style>
  <w:style w:type="character" w:customStyle="1" w:styleId="303">
    <w:name w:val="正文文本缩进 字符3"/>
    <w:link w:val="25"/>
    <w:qFormat/>
    <w:uiPriority w:val="0"/>
    <w:rPr>
      <w:rFonts w:ascii="宋体" w:eastAsia="宋体"/>
      <w:sz w:val="28"/>
      <w:lang w:val="en-US" w:eastAsia="zh-CN" w:bidi="ar-SA"/>
    </w:rPr>
  </w:style>
  <w:style w:type="character" w:customStyle="1" w:styleId="304">
    <w:name w:val="ca-0"/>
    <w:qFormat/>
    <w:uiPriority w:val="0"/>
    <w:rPr>
      <w:rFonts w:ascii="Tahoma" w:hAnsi="Tahoma" w:eastAsia="宋体"/>
      <w:sz w:val="24"/>
      <w:szCs w:val="24"/>
      <w:lang w:val="en-US" w:eastAsia="zh-CN" w:bidi="ar-SA"/>
    </w:rPr>
  </w:style>
  <w:style w:type="character" w:customStyle="1" w:styleId="305">
    <w:name w:val="font41"/>
    <w:qFormat/>
    <w:uiPriority w:val="0"/>
    <w:rPr>
      <w:rFonts w:hint="eastAsia" w:ascii="宋体" w:hAnsi="宋体" w:eastAsia="宋体" w:cs="宋体"/>
      <w:color w:val="000000"/>
      <w:sz w:val="20"/>
      <w:szCs w:val="20"/>
      <w:u w:val="none"/>
    </w:rPr>
  </w:style>
  <w:style w:type="character" w:customStyle="1" w:styleId="306">
    <w:name w:val="apple-converted-space"/>
    <w:qFormat/>
    <w:uiPriority w:val="0"/>
  </w:style>
  <w:style w:type="character" w:customStyle="1" w:styleId="307">
    <w:name w:val="标题 2 字符1"/>
    <w:link w:val="3"/>
    <w:qFormat/>
    <w:uiPriority w:val="0"/>
    <w:rPr>
      <w:rFonts w:ascii="宋体" w:hAnsi="宋体"/>
      <w:b/>
      <w:bCs/>
      <w:sz w:val="28"/>
      <w:szCs w:val="28"/>
    </w:rPr>
  </w:style>
  <w:style w:type="character" w:customStyle="1" w:styleId="308">
    <w:name w:val="文档结构图 字符"/>
    <w:link w:val="20"/>
    <w:qFormat/>
    <w:uiPriority w:val="99"/>
    <w:rPr>
      <w:sz w:val="21"/>
      <w:shd w:val="clear" w:color="auto" w:fill="000080"/>
    </w:rPr>
  </w:style>
  <w:style w:type="character" w:customStyle="1" w:styleId="309">
    <w:name w:val="日期 字符"/>
    <w:qFormat/>
    <w:uiPriority w:val="0"/>
    <w:rPr>
      <w:rFonts w:ascii="宋体" w:hAnsi="宋体" w:eastAsia="楷体_GB2312"/>
      <w:sz w:val="24"/>
      <w:szCs w:val="24"/>
      <w:lang w:val="en-US" w:eastAsia="zh-CN" w:bidi="ar-SA"/>
    </w:rPr>
  </w:style>
  <w:style w:type="character" w:customStyle="1" w:styleId="310">
    <w:name w:val="不明显强调1"/>
    <w:qFormat/>
    <w:uiPriority w:val="19"/>
    <w:rPr>
      <w:i/>
      <w:iCs/>
      <w:color w:val="808080"/>
    </w:rPr>
  </w:style>
  <w:style w:type="character" w:customStyle="1" w:styleId="311">
    <w:name w:val="日期 字符1"/>
    <w:link w:val="37"/>
    <w:qFormat/>
    <w:uiPriority w:val="0"/>
    <w:rPr>
      <w:rFonts w:ascii="宋体"/>
      <w:sz w:val="28"/>
    </w:rPr>
  </w:style>
  <w:style w:type="character" w:customStyle="1" w:styleId="312">
    <w:name w:val="标题 7 字符"/>
    <w:qFormat/>
    <w:uiPriority w:val="0"/>
    <w:rPr>
      <w:rFonts w:ascii="宋体" w:hAnsi="Tahoma" w:eastAsia="仿宋_GB2312"/>
      <w:b/>
      <w:sz w:val="24"/>
      <w:szCs w:val="24"/>
      <w:lang w:val="en-US" w:eastAsia="zh-CN" w:bidi="ar-SA"/>
    </w:rPr>
  </w:style>
  <w:style w:type="character" w:customStyle="1" w:styleId="313">
    <w:name w:val="style221"/>
    <w:qFormat/>
    <w:uiPriority w:val="0"/>
    <w:rPr>
      <w:b/>
      <w:bCs/>
      <w:color w:val="000099"/>
    </w:rPr>
  </w:style>
  <w:style w:type="character" w:customStyle="1" w:styleId="314">
    <w:name w:val="正文文本 2 字符1"/>
    <w:link w:val="58"/>
    <w:qFormat/>
    <w:uiPriority w:val="99"/>
    <w:rPr>
      <w:sz w:val="21"/>
    </w:rPr>
  </w:style>
  <w:style w:type="character" w:customStyle="1" w:styleId="315">
    <w:name w:val="_正文 Char"/>
    <w:link w:val="316"/>
    <w:qFormat/>
    <w:uiPriority w:val="0"/>
    <w:rPr>
      <w:sz w:val="24"/>
      <w:szCs w:val="24"/>
    </w:rPr>
  </w:style>
  <w:style w:type="paragraph" w:customStyle="1" w:styleId="316">
    <w:name w:val="_正文"/>
    <w:basedOn w:val="1"/>
    <w:link w:val="315"/>
    <w:qFormat/>
    <w:uiPriority w:val="0"/>
    <w:pPr>
      <w:spacing w:line="360" w:lineRule="auto"/>
      <w:ind w:firstLine="200"/>
    </w:pPr>
    <w:rPr>
      <w:sz w:val="24"/>
      <w:szCs w:val="24"/>
    </w:rPr>
  </w:style>
  <w:style w:type="character" w:customStyle="1" w:styleId="317">
    <w:name w:val="明显强调1"/>
    <w:qFormat/>
    <w:uiPriority w:val="21"/>
    <w:rPr>
      <w:b/>
      <w:bCs/>
      <w:i/>
      <w:iCs/>
      <w:color w:val="4F81BD"/>
    </w:rPr>
  </w:style>
  <w:style w:type="character" w:customStyle="1" w:styleId="318">
    <w:name w:val="正文文本 3 字符"/>
    <w:link w:val="23"/>
    <w:qFormat/>
    <w:uiPriority w:val="99"/>
    <w:rPr>
      <w:rFonts w:ascii="宋体" w:hAnsi="宋体" w:eastAsia="楷体_GB2312"/>
      <w:sz w:val="26"/>
    </w:rPr>
  </w:style>
  <w:style w:type="character" w:customStyle="1" w:styleId="319">
    <w:name w:val="正文缩进 字符"/>
    <w:qFormat/>
    <w:uiPriority w:val="0"/>
    <w:rPr>
      <w:rFonts w:eastAsia="楷体_GB2312"/>
      <w:sz w:val="24"/>
      <w:lang w:bidi="ar-SA"/>
    </w:rPr>
  </w:style>
  <w:style w:type="character" w:customStyle="1" w:styleId="320">
    <w:name w:val="正文文本缩进 3 Char1"/>
    <w:qFormat/>
    <w:uiPriority w:val="0"/>
    <w:rPr>
      <w:rFonts w:hint="default" w:ascii="Calibri" w:hAnsi="Calibri" w:cs="Calibri"/>
      <w:sz w:val="16"/>
      <w:szCs w:val="16"/>
    </w:rPr>
  </w:style>
  <w:style w:type="character" w:customStyle="1" w:styleId="321">
    <w:name w:val="题注 字符"/>
    <w:link w:val="17"/>
    <w:qFormat/>
    <w:uiPriority w:val="0"/>
    <w:rPr>
      <w:rFonts w:ascii="Arial" w:hAnsi="Arial" w:eastAsia="黑体"/>
    </w:rPr>
  </w:style>
  <w:style w:type="character" w:customStyle="1" w:styleId="322">
    <w:name w:val="标题 3 字符"/>
    <w:qFormat/>
    <w:uiPriority w:val="0"/>
    <w:rPr>
      <w:rFonts w:eastAsia="宋体"/>
      <w:b/>
      <w:bCs/>
      <w:sz w:val="32"/>
      <w:szCs w:val="32"/>
      <w:lang w:val="en-US" w:eastAsia="zh-CN" w:bidi="ar-SA"/>
    </w:rPr>
  </w:style>
  <w:style w:type="character" w:customStyle="1" w:styleId="323">
    <w:name w:val="批注框文本 Char1"/>
    <w:qFormat/>
    <w:uiPriority w:val="0"/>
    <w:rPr>
      <w:rFonts w:hint="default" w:ascii="Calibri" w:hAnsi="Calibri" w:cs="Calibri"/>
      <w:sz w:val="18"/>
      <w:szCs w:val="18"/>
    </w:rPr>
  </w:style>
  <w:style w:type="character" w:customStyle="1" w:styleId="324">
    <w:name w:val="正文文本缩进 Char"/>
    <w:qFormat/>
    <w:uiPriority w:val="99"/>
    <w:rPr>
      <w:rFonts w:ascii="宋体" w:eastAsia="宋体"/>
      <w:sz w:val="28"/>
      <w:lang w:val="en-US" w:eastAsia="zh-CN" w:bidi="ar-SA"/>
    </w:rPr>
  </w:style>
  <w:style w:type="character" w:customStyle="1" w:styleId="325">
    <w:name w:val="纯文本 字符"/>
    <w:qFormat/>
    <w:uiPriority w:val="0"/>
    <w:rPr>
      <w:rFonts w:ascii="宋体" w:hAnsi="Courier New" w:eastAsia="楷体_GB2312"/>
      <w:sz w:val="26"/>
      <w:lang w:bidi="ar-SA"/>
    </w:rPr>
  </w:style>
  <w:style w:type="character" w:customStyle="1" w:styleId="326">
    <w:name w:val="文章正文 字符"/>
    <w:link w:val="327"/>
    <w:qFormat/>
    <w:uiPriority w:val="0"/>
    <w:rPr>
      <w:sz w:val="24"/>
    </w:rPr>
  </w:style>
  <w:style w:type="paragraph" w:customStyle="1" w:styleId="327">
    <w:name w:val="文章正文"/>
    <w:basedOn w:val="1"/>
    <w:link w:val="326"/>
    <w:qFormat/>
    <w:uiPriority w:val="0"/>
    <w:pPr>
      <w:widowControl/>
      <w:spacing w:line="360" w:lineRule="auto"/>
      <w:ind w:firstLine="560"/>
      <w:jc w:val="left"/>
    </w:pPr>
    <w:rPr>
      <w:sz w:val="24"/>
    </w:rPr>
  </w:style>
  <w:style w:type="character" w:customStyle="1" w:styleId="328">
    <w:name w:val="Andy_2级 Char"/>
    <w:link w:val="329"/>
    <w:qFormat/>
    <w:uiPriority w:val="0"/>
    <w:rPr>
      <w:rFonts w:ascii="Calibri" w:hAnsi="Calibri"/>
      <w:sz w:val="24"/>
    </w:rPr>
  </w:style>
  <w:style w:type="paragraph" w:customStyle="1" w:styleId="329">
    <w:name w:val="Andy_2级"/>
    <w:basedOn w:val="1"/>
    <w:link w:val="328"/>
    <w:qFormat/>
    <w:uiPriority w:val="0"/>
    <w:pPr>
      <w:tabs>
        <w:tab w:val="left" w:pos="840"/>
      </w:tabs>
      <w:spacing w:line="360" w:lineRule="auto"/>
      <w:ind w:left="840" w:hanging="420"/>
    </w:pPr>
    <w:rPr>
      <w:rFonts w:ascii="Calibri" w:hAnsi="Calibri"/>
      <w:sz w:val="24"/>
    </w:rPr>
  </w:style>
  <w:style w:type="character" w:customStyle="1" w:styleId="330">
    <w:name w:val="方案正文 Char"/>
    <w:link w:val="331"/>
    <w:qFormat/>
    <w:uiPriority w:val="0"/>
    <w:rPr>
      <w:sz w:val="24"/>
    </w:rPr>
  </w:style>
  <w:style w:type="paragraph" w:customStyle="1" w:styleId="331">
    <w:name w:val="方案正文"/>
    <w:basedOn w:val="1"/>
    <w:link w:val="330"/>
    <w:qFormat/>
    <w:uiPriority w:val="0"/>
    <w:pPr>
      <w:spacing w:line="440" w:lineRule="atLeast"/>
    </w:pPr>
    <w:rPr>
      <w:sz w:val="24"/>
    </w:rPr>
  </w:style>
  <w:style w:type="character" w:customStyle="1" w:styleId="332">
    <w:name w:val="para1"/>
    <w:qFormat/>
    <w:uiPriority w:val="0"/>
    <w:rPr>
      <w:rFonts w:hint="default" w:ascii="Arial" w:hAnsi="Arial" w:cs="Arial"/>
      <w:sz w:val="18"/>
      <w:szCs w:val="18"/>
    </w:rPr>
  </w:style>
  <w:style w:type="character" w:customStyle="1" w:styleId="333">
    <w:name w:val="03 正文 Char"/>
    <w:link w:val="334"/>
    <w:qFormat/>
    <w:uiPriority w:val="0"/>
    <w:rPr>
      <w:sz w:val="21"/>
      <w:szCs w:val="22"/>
    </w:rPr>
  </w:style>
  <w:style w:type="paragraph" w:customStyle="1" w:styleId="334">
    <w:name w:val="03 正文"/>
    <w:basedOn w:val="1"/>
    <w:link w:val="333"/>
    <w:qFormat/>
    <w:uiPriority w:val="0"/>
    <w:pPr>
      <w:widowControl/>
      <w:spacing w:line="500" w:lineRule="atLeast"/>
      <w:ind w:firstLine="420"/>
    </w:pPr>
    <w:rPr>
      <w:szCs w:val="22"/>
    </w:rPr>
  </w:style>
  <w:style w:type="character" w:customStyle="1" w:styleId="335">
    <w:name w:val="param-name"/>
    <w:qFormat/>
    <w:uiPriority w:val="0"/>
    <w:rPr>
      <w:rFonts w:ascii="Tahoma" w:hAnsi="Tahoma" w:eastAsia="宋体"/>
      <w:sz w:val="24"/>
      <w:szCs w:val="24"/>
      <w:lang w:val="en-US" w:eastAsia="zh-CN" w:bidi="ar-SA"/>
    </w:rPr>
  </w:style>
  <w:style w:type="character" w:customStyle="1" w:styleId="336">
    <w:name w:val="apple-style-span"/>
    <w:qFormat/>
    <w:uiPriority w:val="0"/>
    <w:rPr>
      <w:rFonts w:ascii="Tahoma" w:hAnsi="Tahoma" w:eastAsia="宋体"/>
      <w:sz w:val="24"/>
      <w:szCs w:val="24"/>
      <w:lang w:val="en-US" w:eastAsia="zh-CN" w:bidi="ar-SA"/>
    </w:rPr>
  </w:style>
  <w:style w:type="character" w:customStyle="1" w:styleId="337">
    <w:name w:val="列出段落 Char"/>
    <w:qFormat/>
    <w:uiPriority w:val="34"/>
    <w:rPr>
      <w:rFonts w:ascii="Calibri" w:hAnsi="Calibri"/>
      <w:sz w:val="24"/>
    </w:rPr>
  </w:style>
  <w:style w:type="character" w:customStyle="1" w:styleId="338">
    <w:name w:val="Char Char8"/>
    <w:qFormat/>
    <w:uiPriority w:val="0"/>
    <w:rPr>
      <w:sz w:val="18"/>
      <w:szCs w:val="18"/>
    </w:rPr>
  </w:style>
  <w:style w:type="character" w:customStyle="1" w:styleId="339">
    <w:name w:val="正文文本缩进 字符1"/>
    <w:qFormat/>
    <w:uiPriority w:val="0"/>
    <w:rPr>
      <w:rFonts w:ascii="宋体" w:eastAsia="宋体"/>
      <w:sz w:val="28"/>
      <w:lang w:val="en-US" w:eastAsia="zh-CN" w:bidi="ar-SA"/>
    </w:rPr>
  </w:style>
  <w:style w:type="character" w:customStyle="1" w:styleId="340">
    <w:name w:val="HTML 预设格式 字符"/>
    <w:qFormat/>
    <w:uiPriority w:val="0"/>
    <w:rPr>
      <w:rFonts w:ascii="宋体" w:hAnsi="宋体" w:cs="宋体"/>
      <w:sz w:val="24"/>
      <w:szCs w:val="24"/>
    </w:rPr>
  </w:style>
  <w:style w:type="character" w:customStyle="1" w:styleId="341">
    <w:name w:val="style141"/>
    <w:qFormat/>
    <w:uiPriority w:val="0"/>
    <w:rPr>
      <w:rFonts w:hint="eastAsia" w:ascii="宋体" w:hAnsi="宋体" w:eastAsia="宋体"/>
    </w:rPr>
  </w:style>
  <w:style w:type="character" w:customStyle="1" w:styleId="342">
    <w:name w:val="_标题3 Char"/>
    <w:link w:val="343"/>
    <w:qFormat/>
    <w:uiPriority w:val="0"/>
    <w:rPr>
      <w:rFonts w:ascii="Calibri" w:hAnsi="Calibri" w:eastAsia="宋体" w:cs="Times New Roman"/>
      <w:b/>
      <w:sz w:val="28"/>
      <w:szCs w:val="21"/>
    </w:rPr>
  </w:style>
  <w:style w:type="paragraph" w:customStyle="1" w:styleId="343">
    <w:name w:val="_标题3"/>
    <w:basedOn w:val="1"/>
    <w:next w:val="1"/>
    <w:link w:val="342"/>
    <w:qFormat/>
    <w:uiPriority w:val="0"/>
    <w:pPr>
      <w:keepNext/>
      <w:spacing w:line="360" w:lineRule="auto"/>
      <w:jc w:val="left"/>
      <w:outlineLvl w:val="2"/>
    </w:pPr>
    <w:rPr>
      <w:rFonts w:ascii="Calibri" w:hAnsi="Calibri"/>
      <w:b/>
      <w:sz w:val="28"/>
      <w:szCs w:val="21"/>
    </w:rPr>
  </w:style>
  <w:style w:type="character" w:customStyle="1" w:styleId="344">
    <w:name w:val="列表段落 字符"/>
    <w:link w:val="345"/>
    <w:qFormat/>
    <w:uiPriority w:val="34"/>
    <w:rPr>
      <w:rFonts w:ascii="Calibri" w:hAnsi="Calibri"/>
      <w:sz w:val="24"/>
    </w:rPr>
  </w:style>
  <w:style w:type="paragraph" w:styleId="345">
    <w:name w:val="List Paragraph"/>
    <w:basedOn w:val="1"/>
    <w:link w:val="344"/>
    <w:qFormat/>
    <w:uiPriority w:val="34"/>
    <w:pPr>
      <w:spacing w:line="360" w:lineRule="auto"/>
      <w:ind w:firstLine="420"/>
    </w:pPr>
    <w:rPr>
      <w:rFonts w:ascii="Calibri" w:hAnsi="Calibri"/>
      <w:sz w:val="24"/>
    </w:rPr>
  </w:style>
  <w:style w:type="character" w:customStyle="1" w:styleId="346">
    <w:name w:val="para"/>
    <w:qFormat/>
    <w:uiPriority w:val="0"/>
    <w:rPr>
      <w:rFonts w:ascii="Tahoma" w:hAnsi="Tahoma" w:eastAsia="宋体"/>
      <w:sz w:val="24"/>
      <w:szCs w:val="24"/>
      <w:lang w:val="en-US" w:eastAsia="zh-CN" w:bidi="ar-SA"/>
    </w:rPr>
  </w:style>
  <w:style w:type="character" w:customStyle="1" w:styleId="347">
    <w:name w:val="font21"/>
    <w:qFormat/>
    <w:uiPriority w:val="0"/>
    <w:rPr>
      <w:rFonts w:hint="eastAsia" w:ascii="宋体" w:hAnsi="宋体" w:eastAsia="宋体" w:cs="宋体"/>
      <w:color w:val="000000"/>
      <w:sz w:val="22"/>
      <w:szCs w:val="22"/>
      <w:u w:val="none"/>
    </w:rPr>
  </w:style>
  <w:style w:type="character" w:customStyle="1" w:styleId="348">
    <w:name w:val="ca-1"/>
    <w:qFormat/>
    <w:uiPriority w:val="0"/>
    <w:rPr>
      <w:rFonts w:ascii="Tahoma" w:hAnsi="Tahoma" w:eastAsia="宋体"/>
      <w:sz w:val="24"/>
      <w:szCs w:val="24"/>
      <w:lang w:val="en-US" w:eastAsia="zh-CN" w:bidi="ar-SA"/>
    </w:rPr>
  </w:style>
  <w:style w:type="character" w:customStyle="1" w:styleId="349">
    <w:name w:val="style21"/>
    <w:qFormat/>
    <w:uiPriority w:val="0"/>
    <w:rPr>
      <w:rFonts w:ascii="Tahoma" w:hAnsi="Tahoma" w:eastAsia="宋体"/>
      <w:color w:val="2E65B5"/>
      <w:sz w:val="24"/>
      <w:szCs w:val="24"/>
      <w:lang w:val="en-US" w:eastAsia="zh-CN" w:bidi="ar-SA"/>
    </w:rPr>
  </w:style>
  <w:style w:type="character" w:customStyle="1" w:styleId="350">
    <w:name w:val="纯文本 Char Char Char Char Char Char Char Char Char Char"/>
    <w:qFormat/>
    <w:uiPriority w:val="0"/>
    <w:rPr>
      <w:rFonts w:ascii="宋体" w:hAnsi="Courier New" w:eastAsia="楷体_GB2312"/>
      <w:sz w:val="26"/>
      <w:lang w:val="en-US" w:eastAsia="zh-CN" w:bidi="ar-SA"/>
    </w:rPr>
  </w:style>
  <w:style w:type="character" w:customStyle="1" w:styleId="351">
    <w:name w:val="无间隔 字符"/>
    <w:link w:val="352"/>
    <w:qFormat/>
    <w:uiPriority w:val="1"/>
    <w:rPr>
      <w:sz w:val="24"/>
      <w:szCs w:val="24"/>
      <w:lang w:val="en-US" w:eastAsia="zh-CN" w:bidi="ar-SA"/>
    </w:rPr>
  </w:style>
  <w:style w:type="paragraph" w:styleId="352">
    <w:name w:val="No Spacing"/>
    <w:link w:val="351"/>
    <w:qFormat/>
    <w:uiPriority w:val="1"/>
    <w:pPr>
      <w:widowControl w:val="0"/>
      <w:spacing w:line="360" w:lineRule="auto"/>
      <w:ind w:firstLine="200"/>
      <w:jc w:val="both"/>
    </w:pPr>
    <w:rPr>
      <w:rFonts w:hint="default" w:ascii="Times New Roman" w:hAnsi="Times New Roman" w:eastAsia="宋体" w:cs="Times New Roman"/>
      <w:sz w:val="24"/>
      <w:szCs w:val="24"/>
      <w:lang w:val="en-US" w:eastAsia="zh-CN" w:bidi="ar-SA"/>
    </w:rPr>
  </w:style>
  <w:style w:type="character" w:customStyle="1" w:styleId="353">
    <w:name w:val="09汇 表 Char"/>
    <w:link w:val="354"/>
    <w:qFormat/>
    <w:uiPriority w:val="0"/>
    <w:rPr>
      <w:bCs/>
      <w:color w:val="000000"/>
      <w:sz w:val="22"/>
      <w:szCs w:val="24"/>
    </w:rPr>
  </w:style>
  <w:style w:type="paragraph" w:customStyle="1" w:styleId="354">
    <w:name w:val="09汇 表"/>
    <w:basedOn w:val="1"/>
    <w:link w:val="353"/>
    <w:qFormat/>
    <w:uiPriority w:val="0"/>
    <w:pPr>
      <w:widowControl/>
      <w:jc w:val="center"/>
    </w:pPr>
    <w:rPr>
      <w:bCs/>
      <w:color w:val="000000"/>
      <w:sz w:val="22"/>
      <w:szCs w:val="24"/>
    </w:rPr>
  </w:style>
  <w:style w:type="character" w:customStyle="1" w:styleId="355">
    <w:name w:val="正文文本缩进 字符"/>
    <w:qFormat/>
    <w:uiPriority w:val="0"/>
    <w:rPr>
      <w:sz w:val="24"/>
      <w:lang w:bidi="ar-SA"/>
    </w:rPr>
  </w:style>
  <w:style w:type="character" w:customStyle="1" w:styleId="356">
    <w:name w:val="表格 Char"/>
    <w:link w:val="357"/>
    <w:qFormat/>
    <w:uiPriority w:val="0"/>
    <w:rPr>
      <w:rFonts w:ascii="等线" w:hAnsi="等线"/>
      <w:color w:val="000000"/>
      <w:szCs w:val="21"/>
      <w:lang w:val="en-US" w:eastAsia="zh-CN" w:bidi="ar-SA"/>
    </w:rPr>
  </w:style>
  <w:style w:type="paragraph" w:customStyle="1" w:styleId="357">
    <w:name w:val="表格"/>
    <w:next w:val="1"/>
    <w:link w:val="356"/>
    <w:qFormat/>
    <w:uiPriority w:val="0"/>
    <w:rPr>
      <w:rFonts w:hint="default" w:ascii="等线" w:hAnsi="等线" w:eastAsia="宋体" w:cs="Times New Roman"/>
      <w:color w:val="000000"/>
      <w:szCs w:val="21"/>
      <w:lang w:val="en-US" w:eastAsia="zh-CN" w:bidi="ar-SA"/>
    </w:rPr>
  </w:style>
  <w:style w:type="character" w:customStyle="1" w:styleId="358">
    <w:name w:val="a"/>
    <w:qFormat/>
    <w:uiPriority w:val="0"/>
  </w:style>
  <w:style w:type="character" w:customStyle="1" w:styleId="359">
    <w:name w:val="一. 字符"/>
    <w:link w:val="360"/>
    <w:qFormat/>
    <w:uiPriority w:val="0"/>
    <w:rPr>
      <w:b/>
      <w:bCs/>
      <w:sz w:val="28"/>
      <w:szCs w:val="28"/>
    </w:rPr>
  </w:style>
  <w:style w:type="paragraph" w:customStyle="1" w:styleId="360">
    <w:name w:val="一."/>
    <w:basedOn w:val="1"/>
    <w:link w:val="359"/>
    <w:qFormat/>
    <w:uiPriority w:val="0"/>
    <w:pPr>
      <w:spacing w:line="360" w:lineRule="auto"/>
      <w:jc w:val="left"/>
    </w:pPr>
    <w:rPr>
      <w:b/>
      <w:bCs/>
      <w:sz w:val="28"/>
      <w:szCs w:val="28"/>
    </w:rPr>
  </w:style>
  <w:style w:type="character" w:customStyle="1" w:styleId="361">
    <w:name w:val="纯文本 Char Char"/>
    <w:link w:val="362"/>
    <w:qFormat/>
    <w:uiPriority w:val="0"/>
    <w:rPr>
      <w:rFonts w:ascii="宋体" w:hAnsi="Courier New" w:eastAsia="楷体_GB2312"/>
      <w:sz w:val="26"/>
      <w:szCs w:val="24"/>
    </w:rPr>
  </w:style>
  <w:style w:type="paragraph" w:customStyle="1" w:styleId="362">
    <w:name w:val="纯文本11"/>
    <w:basedOn w:val="1"/>
    <w:link w:val="361"/>
    <w:qFormat/>
    <w:uiPriority w:val="0"/>
    <w:pPr>
      <w:widowControl/>
      <w:jc w:val="left"/>
    </w:pPr>
    <w:rPr>
      <w:rFonts w:ascii="宋体" w:hAnsi="Courier New" w:eastAsia="楷体_GB2312"/>
      <w:sz w:val="26"/>
      <w:szCs w:val="24"/>
    </w:rPr>
  </w:style>
  <w:style w:type="character" w:customStyle="1" w:styleId="363">
    <w:name w:val="_正文段落 Char"/>
    <w:link w:val="364"/>
    <w:qFormat/>
    <w:uiPriority w:val="0"/>
    <w:rPr>
      <w:rFonts w:ascii="宋体" w:hAnsi="宋体"/>
      <w:sz w:val="24"/>
      <w:szCs w:val="24"/>
    </w:rPr>
  </w:style>
  <w:style w:type="paragraph" w:customStyle="1" w:styleId="364">
    <w:name w:val="_正文段落"/>
    <w:basedOn w:val="1"/>
    <w:link w:val="363"/>
    <w:qFormat/>
    <w:uiPriority w:val="0"/>
    <w:pPr>
      <w:widowControl/>
      <w:spacing w:line="360" w:lineRule="auto"/>
      <w:ind w:firstLine="480"/>
      <w:jc w:val="left"/>
    </w:pPr>
    <w:rPr>
      <w:rFonts w:ascii="宋体" w:hAnsi="宋体"/>
      <w:sz w:val="24"/>
      <w:szCs w:val="24"/>
    </w:rPr>
  </w:style>
  <w:style w:type="character" w:customStyle="1" w:styleId="365">
    <w:name w:val="标题 1 字符"/>
    <w:qFormat/>
    <w:uiPriority w:val="0"/>
    <w:rPr>
      <w:rFonts w:eastAsia="楷体_GB2312"/>
      <w:b/>
      <w:sz w:val="44"/>
      <w:lang w:val="en-US" w:eastAsia="zh-CN" w:bidi="ar-SA"/>
    </w:rPr>
  </w:style>
  <w:style w:type="character" w:customStyle="1" w:styleId="366">
    <w:name w:val="纯文本 Char1"/>
    <w:qFormat/>
    <w:uiPriority w:val="0"/>
    <w:rPr>
      <w:rFonts w:ascii="宋体" w:hAnsi="Courier New" w:eastAsia="宋体"/>
      <w:sz w:val="21"/>
      <w:lang w:val="en-US" w:eastAsia="zh-CN" w:bidi="ar-SA"/>
    </w:rPr>
  </w:style>
  <w:style w:type="character" w:customStyle="1" w:styleId="367">
    <w:name w:val="wen Char1"/>
    <w:link w:val="368"/>
    <w:qFormat/>
    <w:uiPriority w:val="0"/>
    <w:rPr>
      <w:rFonts w:ascii="微软雅黑" w:hAnsi="微软雅黑" w:eastAsia="微软雅黑"/>
      <w:sz w:val="21"/>
      <w:szCs w:val="24"/>
    </w:rPr>
  </w:style>
  <w:style w:type="paragraph" w:customStyle="1" w:styleId="368">
    <w:name w:val="wen"/>
    <w:basedOn w:val="1"/>
    <w:link w:val="367"/>
    <w:qFormat/>
    <w:uiPriority w:val="0"/>
    <w:pPr>
      <w:spacing w:line="269" w:lineRule="auto"/>
      <w:ind w:firstLine="425"/>
    </w:pPr>
    <w:rPr>
      <w:rFonts w:ascii="微软雅黑" w:hAnsi="微软雅黑" w:eastAsia="微软雅黑"/>
      <w:szCs w:val="24"/>
    </w:rPr>
  </w:style>
  <w:style w:type="character" w:customStyle="1" w:styleId="369">
    <w:name w:val="style181"/>
    <w:qFormat/>
    <w:uiPriority w:val="0"/>
    <w:rPr>
      <w:sz w:val="18"/>
      <w:szCs w:val="18"/>
    </w:rPr>
  </w:style>
  <w:style w:type="character" w:customStyle="1" w:styleId="370">
    <w:name w:val="style4 style24"/>
    <w:qFormat/>
    <w:uiPriority w:val="0"/>
    <w:rPr>
      <w:rFonts w:ascii="Tahoma" w:hAnsi="Tahoma" w:eastAsia="宋体"/>
      <w:sz w:val="24"/>
      <w:szCs w:val="24"/>
      <w:lang w:val="en-US" w:eastAsia="zh-CN" w:bidi="ar-SA"/>
    </w:rPr>
  </w:style>
  <w:style w:type="character" w:customStyle="1" w:styleId="371">
    <w:name w:val="样式11"/>
    <w:qFormat/>
    <w:uiPriority w:val="0"/>
    <w:rPr>
      <w:b/>
    </w:rPr>
  </w:style>
  <w:style w:type="character" w:customStyle="1" w:styleId="372">
    <w:name w:val="01 章标 Char"/>
    <w:link w:val="373"/>
    <w:qFormat/>
    <w:uiPriority w:val="0"/>
    <w:rPr>
      <w:b/>
      <w:sz w:val="44"/>
      <w:szCs w:val="44"/>
    </w:rPr>
  </w:style>
  <w:style w:type="paragraph" w:customStyle="1" w:styleId="373">
    <w:name w:val="01 章标"/>
    <w:basedOn w:val="1"/>
    <w:link w:val="372"/>
    <w:qFormat/>
    <w:uiPriority w:val="0"/>
    <w:pPr>
      <w:ind w:firstLine="883"/>
      <w:jc w:val="center"/>
      <w:outlineLvl w:val="0"/>
    </w:pPr>
    <w:rPr>
      <w:b/>
      <w:sz w:val="44"/>
      <w:szCs w:val="44"/>
    </w:rPr>
  </w:style>
  <w:style w:type="character" w:customStyle="1" w:styleId="374">
    <w:name w:val="文档结构图 Char1"/>
    <w:qFormat/>
    <w:uiPriority w:val="0"/>
    <w:rPr>
      <w:rFonts w:ascii="宋体"/>
      <w:sz w:val="18"/>
      <w:szCs w:val="18"/>
    </w:rPr>
  </w:style>
  <w:style w:type="character" w:customStyle="1" w:styleId="375">
    <w:name w:val="日期 Char1"/>
    <w:qFormat/>
    <w:uiPriority w:val="0"/>
    <w:rPr>
      <w:rFonts w:eastAsia="楷体_GB2312"/>
      <w:sz w:val="28"/>
    </w:rPr>
  </w:style>
  <w:style w:type="character" w:customStyle="1" w:styleId="376">
    <w:name w:val="标题 9 字符"/>
    <w:qFormat/>
    <w:uiPriority w:val="0"/>
    <w:rPr>
      <w:rFonts w:ascii="Arial" w:hAnsi="Arial" w:eastAsia="黑体"/>
      <w:sz w:val="28"/>
      <w:szCs w:val="24"/>
      <w:lang w:val="en-US" w:eastAsia="zh-CN" w:bidi="ar-SA"/>
    </w:rPr>
  </w:style>
  <w:style w:type="character" w:customStyle="1" w:styleId="377">
    <w:name w:val="批注主题 字符"/>
    <w:qFormat/>
    <w:uiPriority w:val="0"/>
    <w:rPr>
      <w:rFonts w:ascii="Tahoma" w:hAnsi="Tahoma" w:eastAsia="宋体"/>
      <w:b/>
      <w:bCs/>
      <w:sz w:val="21"/>
      <w:szCs w:val="24"/>
      <w:lang w:val="en-US" w:eastAsia="zh-CN" w:bidi="ar-SA"/>
    </w:rPr>
  </w:style>
  <w:style w:type="character" w:customStyle="1" w:styleId="378">
    <w:name w:val="页脚 Char1"/>
    <w:semiHidden/>
    <w:qFormat/>
    <w:uiPriority w:val="99"/>
    <w:rPr>
      <w:rFonts w:eastAsia="楷体_GB2312"/>
      <w:sz w:val="18"/>
      <w:szCs w:val="18"/>
    </w:rPr>
  </w:style>
  <w:style w:type="character" w:customStyle="1" w:styleId="379">
    <w:name w:val="Andy_正文 Char"/>
    <w:link w:val="380"/>
    <w:qFormat/>
    <w:uiPriority w:val="0"/>
    <w:rPr>
      <w:rFonts w:ascii="Calibri" w:hAnsi="Calibri"/>
      <w:sz w:val="24"/>
      <w:szCs w:val="24"/>
    </w:rPr>
  </w:style>
  <w:style w:type="paragraph" w:customStyle="1" w:styleId="380">
    <w:name w:val="Andy_正文"/>
    <w:basedOn w:val="1"/>
    <w:link w:val="379"/>
    <w:qFormat/>
    <w:uiPriority w:val="0"/>
    <w:pPr>
      <w:spacing w:line="360" w:lineRule="auto"/>
      <w:ind w:firstLine="480"/>
    </w:pPr>
    <w:rPr>
      <w:rFonts w:ascii="Calibri" w:hAnsi="Calibri"/>
      <w:sz w:val="24"/>
      <w:szCs w:val="24"/>
    </w:rPr>
  </w:style>
  <w:style w:type="character" w:customStyle="1" w:styleId="381">
    <w:name w:val="Char Char1"/>
    <w:qFormat/>
    <w:uiPriority w:val="0"/>
    <w:rPr>
      <w:rFonts w:ascii="宋体" w:hAnsi="宋体" w:eastAsia="楷体_GB2312"/>
      <w:sz w:val="24"/>
      <w:lang w:val="en-US" w:eastAsia="zh-CN" w:bidi="ar-SA"/>
    </w:rPr>
  </w:style>
  <w:style w:type="character" w:customStyle="1" w:styleId="382">
    <w:name w:val="正文 首行缩进:  2 字符 Char Char Char"/>
    <w:link w:val="383"/>
    <w:qFormat/>
    <w:uiPriority w:val="0"/>
    <w:rPr>
      <w:sz w:val="21"/>
    </w:rPr>
  </w:style>
  <w:style w:type="paragraph" w:customStyle="1" w:styleId="383">
    <w:name w:val="正文 首行缩进:  2 字符 Char"/>
    <w:basedOn w:val="1"/>
    <w:link w:val="382"/>
    <w:qFormat/>
    <w:uiPriority w:val="0"/>
    <w:pPr>
      <w:spacing w:line="360" w:lineRule="auto"/>
      <w:ind w:firstLine="480"/>
      <w:jc w:val="left"/>
    </w:pPr>
  </w:style>
  <w:style w:type="character" w:customStyle="1" w:styleId="384">
    <w:name w:val="Plain Text Char Char"/>
    <w:link w:val="385"/>
    <w:qFormat/>
    <w:uiPriority w:val="0"/>
    <w:rPr>
      <w:rFonts w:ascii="宋体" w:hAnsi="Courier New" w:eastAsia="楷体_GB2312"/>
      <w:sz w:val="26"/>
    </w:rPr>
  </w:style>
  <w:style w:type="paragraph" w:customStyle="1" w:styleId="385">
    <w:name w:val="纯文本2"/>
    <w:basedOn w:val="1"/>
    <w:link w:val="384"/>
    <w:qFormat/>
    <w:uiPriority w:val="0"/>
    <w:rPr>
      <w:rFonts w:ascii="宋体" w:hAnsi="Courier New" w:eastAsia="楷体_GB2312"/>
      <w:sz w:val="26"/>
    </w:rPr>
  </w:style>
  <w:style w:type="character" w:customStyle="1" w:styleId="386">
    <w:name w:val="font51"/>
    <w:qFormat/>
    <w:uiPriority w:val="0"/>
    <w:rPr>
      <w:rFonts w:hint="eastAsia" w:ascii="微软雅黑" w:hAnsi="微软雅黑" w:eastAsia="微软雅黑" w:cs="微软雅黑"/>
      <w:color w:val="000000"/>
      <w:sz w:val="24"/>
      <w:szCs w:val="24"/>
      <w:u w:val="none"/>
    </w:rPr>
  </w:style>
  <w:style w:type="character" w:customStyle="1" w:styleId="387">
    <w:name w:val="正文缩进1 Char1"/>
    <w:qFormat/>
    <w:uiPriority w:val="0"/>
    <w:rPr>
      <w:rFonts w:eastAsia="楷体_GB2312"/>
      <w:sz w:val="24"/>
      <w:lang w:val="en-US" w:eastAsia="zh-CN" w:bidi="ar-SA"/>
    </w:rPr>
  </w:style>
  <w:style w:type="character" w:customStyle="1" w:styleId="388">
    <w:name w:val="Plain Text Char"/>
    <w:link w:val="389"/>
    <w:qFormat/>
    <w:uiPriority w:val="0"/>
    <w:rPr>
      <w:rFonts w:ascii="宋体" w:hAnsi="Courier New" w:eastAsia="楷体_GB2312"/>
      <w:sz w:val="26"/>
    </w:rPr>
  </w:style>
  <w:style w:type="paragraph" w:customStyle="1" w:styleId="389">
    <w:name w:val="纯文本5"/>
    <w:basedOn w:val="1"/>
    <w:link w:val="388"/>
    <w:qFormat/>
    <w:uiPriority w:val="0"/>
    <w:rPr>
      <w:rFonts w:ascii="宋体" w:hAnsi="Courier New" w:eastAsia="楷体_GB2312"/>
      <w:sz w:val="26"/>
    </w:rPr>
  </w:style>
  <w:style w:type="character" w:customStyle="1" w:styleId="390">
    <w:name w:val="正文文本 2 字符"/>
    <w:qFormat/>
    <w:uiPriority w:val="0"/>
    <w:rPr>
      <w:rFonts w:ascii="Tahoma" w:hAnsi="Tahoma" w:eastAsia="宋体"/>
      <w:color w:val="000000"/>
      <w:sz w:val="24"/>
      <w:szCs w:val="24"/>
      <w:lang w:val="en-US" w:eastAsia="zh-CN" w:bidi="ar-SA"/>
    </w:rPr>
  </w:style>
  <w:style w:type="character" w:customStyle="1" w:styleId="391">
    <w:name w:val="页脚 字符"/>
    <w:qFormat/>
    <w:uiPriority w:val="99"/>
    <w:rPr>
      <w:sz w:val="18"/>
      <w:lang w:bidi="ar-SA"/>
    </w:rPr>
  </w:style>
  <w:style w:type="character" w:customStyle="1" w:styleId="392">
    <w:name w:val="批注文字 字符"/>
    <w:semiHidden/>
    <w:qFormat/>
    <w:uiPriority w:val="0"/>
    <w:rPr>
      <w:rFonts w:ascii="Tahoma" w:hAnsi="Tahoma" w:eastAsia="宋体"/>
      <w:sz w:val="21"/>
      <w:szCs w:val="24"/>
      <w:lang w:val="en-US" w:eastAsia="zh-CN" w:bidi="ar-SA"/>
    </w:rPr>
  </w:style>
  <w:style w:type="character" w:customStyle="1" w:styleId="393">
    <w:name w:val="标题 4 字符"/>
    <w:qFormat/>
    <w:uiPriority w:val="0"/>
    <w:rPr>
      <w:rFonts w:ascii="Times New Roman" w:hAnsi="Times New Roman" w:eastAsia="宋体" w:cs="Times New Roman"/>
      <w:b/>
      <w:bCs/>
      <w:sz w:val="28"/>
      <w:szCs w:val="28"/>
    </w:rPr>
  </w:style>
  <w:style w:type="character" w:customStyle="1" w:styleId="394">
    <w:name w:val="页脚 字符1"/>
    <w:qFormat/>
    <w:uiPriority w:val="99"/>
    <w:rPr>
      <w:sz w:val="18"/>
      <w:szCs w:val="18"/>
    </w:rPr>
  </w:style>
  <w:style w:type="character" w:customStyle="1" w:styleId="395">
    <w:name w:val="HTML 预设格式 Char2"/>
    <w:semiHidden/>
    <w:qFormat/>
    <w:uiPriority w:val="99"/>
    <w:rPr>
      <w:rFonts w:ascii="Courier New" w:hAnsi="Courier New" w:eastAsia="楷体_GB2312" w:cs="Courier New"/>
    </w:rPr>
  </w:style>
  <w:style w:type="character" w:customStyle="1" w:styleId="396">
    <w:name w:val="font61"/>
    <w:qFormat/>
    <w:uiPriority w:val="0"/>
    <w:rPr>
      <w:rFonts w:hint="eastAsia" w:ascii="宋体" w:hAnsi="宋体" w:eastAsia="宋体" w:cs="宋体"/>
      <w:color w:val="000000"/>
      <w:sz w:val="20"/>
      <w:szCs w:val="20"/>
      <w:u w:val="none"/>
    </w:rPr>
  </w:style>
  <w:style w:type="character" w:customStyle="1" w:styleId="397">
    <w:name w:val="font01"/>
    <w:qFormat/>
    <w:uiPriority w:val="0"/>
    <w:rPr>
      <w:rFonts w:hint="eastAsia" w:ascii="宋体" w:hAnsi="宋体" w:eastAsia="宋体" w:cs="宋体"/>
      <w:color w:val="000000"/>
      <w:sz w:val="24"/>
      <w:szCs w:val="24"/>
      <w:u w:val="none"/>
    </w:rPr>
  </w:style>
  <w:style w:type="character" w:customStyle="1" w:styleId="398">
    <w:name w:val="正文缩进 字符1"/>
    <w:qFormat/>
    <w:uiPriority w:val="0"/>
    <w:rPr>
      <w:sz w:val="21"/>
    </w:rPr>
  </w:style>
  <w:style w:type="character" w:customStyle="1" w:styleId="399">
    <w:name w:val="标题 6 字符"/>
    <w:qFormat/>
    <w:uiPriority w:val="0"/>
    <w:rPr>
      <w:rFonts w:ascii="Arial" w:hAnsi="Arial" w:eastAsia="黑体"/>
      <w:b/>
      <w:bCs/>
      <w:sz w:val="24"/>
      <w:szCs w:val="24"/>
      <w:lang w:val="en-US" w:eastAsia="zh-CN" w:bidi="ar-SA"/>
    </w:rPr>
  </w:style>
  <w:style w:type="character" w:customStyle="1" w:styleId="400">
    <w:name w:val="批注主题 Char1"/>
    <w:semiHidden/>
    <w:qFormat/>
    <w:uiPriority w:val="99"/>
    <w:rPr>
      <w:rFonts w:eastAsia="楷体_GB2312"/>
      <w:b/>
      <w:bCs/>
      <w:sz w:val="28"/>
    </w:rPr>
  </w:style>
  <w:style w:type="character" w:customStyle="1" w:styleId="401">
    <w:name w:val="size31"/>
    <w:qFormat/>
    <w:uiPriority w:val="0"/>
    <w:rPr>
      <w:rFonts w:hint="default" w:ascii="Arial" w:hAnsi="Arial" w:eastAsia="宋体" w:cs="Arial"/>
      <w:b/>
      <w:bCs/>
      <w:color w:val="2D2D2D"/>
      <w:sz w:val="18"/>
      <w:szCs w:val="18"/>
      <w:lang w:val="en-US" w:eastAsia="en-US" w:bidi="ar-SA"/>
    </w:rPr>
  </w:style>
  <w:style w:type="character" w:customStyle="1" w:styleId="402">
    <w:name w:val="标题 2 字符"/>
    <w:qFormat/>
    <w:uiPriority w:val="0"/>
    <w:rPr>
      <w:rFonts w:ascii="Arial" w:hAnsi="Arial"/>
      <w:b/>
      <w:bCs/>
      <w:sz w:val="28"/>
      <w:szCs w:val="32"/>
    </w:rPr>
  </w:style>
  <w:style w:type="character" w:customStyle="1" w:styleId="403">
    <w:name w:val="正文缩进 字符2"/>
    <w:qFormat/>
    <w:uiPriority w:val="0"/>
    <w:rPr>
      <w:sz w:val="21"/>
    </w:rPr>
  </w:style>
  <w:style w:type="character" w:customStyle="1" w:styleId="404">
    <w:name w:val="Char Char"/>
    <w:qFormat/>
    <w:uiPriority w:val="0"/>
    <w:rPr>
      <w:rFonts w:ascii="宋体" w:hAnsi="宋体" w:eastAsia="楷体_GB2312"/>
      <w:sz w:val="24"/>
      <w:lang w:val="en-US" w:eastAsia="zh-CN" w:bidi="ar-SA"/>
    </w:rPr>
  </w:style>
  <w:style w:type="character" w:customStyle="1" w:styleId="405">
    <w:name w:val="Body Text Char"/>
    <w:qFormat/>
    <w:uiPriority w:val="0"/>
    <w:rPr>
      <w:rFonts w:ascii="楷体_GB2312" w:hAnsi="Arial" w:eastAsia="楷体_GB2312" w:cs="Times New Roman"/>
      <w:sz w:val="28"/>
      <w:szCs w:val="20"/>
    </w:rPr>
  </w:style>
  <w:style w:type="character" w:customStyle="1" w:styleId="406">
    <w:name w:val="正文文本缩进 3 字符"/>
    <w:qFormat/>
    <w:uiPriority w:val="0"/>
    <w:rPr>
      <w:rFonts w:eastAsia="宋体"/>
      <w:sz w:val="16"/>
      <w:szCs w:val="16"/>
      <w:lang w:val="en-US" w:eastAsia="zh-CN" w:bidi="ar-SA"/>
    </w:rPr>
  </w:style>
  <w:style w:type="character" w:customStyle="1" w:styleId="407">
    <w:name w:val="表格 Char Char"/>
    <w:qFormat/>
    <w:uiPriority w:val="0"/>
    <w:rPr>
      <w:rFonts w:ascii="仿宋_GB2312" w:hAnsi="宋体" w:eastAsia="仿宋_GB2312"/>
      <w:sz w:val="21"/>
      <w:szCs w:val="21"/>
    </w:rPr>
  </w:style>
  <w:style w:type="character" w:customStyle="1" w:styleId="408">
    <w:name w:val="Char Char7"/>
    <w:qFormat/>
    <w:uiPriority w:val="0"/>
    <w:rPr>
      <w:rFonts w:ascii="Times New Roman" w:hAnsi="Times New Roman" w:eastAsia="宋体" w:cs="Times New Roman"/>
      <w:sz w:val="24"/>
      <w:szCs w:val="24"/>
    </w:rPr>
  </w:style>
  <w:style w:type="character" w:customStyle="1" w:styleId="409">
    <w:name w:val="批注文字 Char1"/>
    <w:semiHidden/>
    <w:qFormat/>
    <w:uiPriority w:val="99"/>
    <w:rPr>
      <w:rFonts w:ascii="Times New Roman" w:hAnsi="Times New Roman" w:eastAsia="宋体" w:cs="Times New Roman"/>
      <w:szCs w:val="20"/>
    </w:rPr>
  </w:style>
  <w:style w:type="character" w:customStyle="1" w:styleId="410">
    <w:name w:val="页眉 字符1"/>
    <w:qFormat/>
    <w:uiPriority w:val="99"/>
    <w:rPr>
      <w:sz w:val="18"/>
      <w:szCs w:val="18"/>
    </w:rPr>
  </w:style>
  <w:style w:type="character" w:customStyle="1" w:styleId="411">
    <w:name w:val="List Paragraph Char"/>
    <w:qFormat/>
    <w:uiPriority w:val="0"/>
  </w:style>
  <w:style w:type="character" w:customStyle="1" w:styleId="412">
    <w:name w:val="font122"/>
    <w:qFormat/>
    <w:uiPriority w:val="0"/>
    <w:rPr>
      <w:rFonts w:ascii="Calibri" w:hAnsi="Calibri" w:cs="Calibri"/>
      <w:color w:val="000000"/>
      <w:sz w:val="20"/>
      <w:szCs w:val="20"/>
      <w:u w:val="none"/>
    </w:rPr>
  </w:style>
  <w:style w:type="paragraph" w:customStyle="1" w:styleId="413">
    <w:name w:val="xl2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14">
    <w:name w:val="xl24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415">
    <w:name w:val="表格内文"/>
    <w:basedOn w:val="1"/>
    <w:qFormat/>
    <w:uiPriority w:val="0"/>
    <w:pPr>
      <w:spacing w:line="360" w:lineRule="auto"/>
    </w:pPr>
    <w:rPr>
      <w:rFonts w:ascii="宋体" w:hAnsi="宋体"/>
      <w:color w:val="000000"/>
      <w:sz w:val="20"/>
    </w:rPr>
  </w:style>
  <w:style w:type="paragraph" w:customStyle="1" w:styleId="416">
    <w:name w:val="xl12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417">
    <w:name w:val="xl413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418">
    <w:name w:val="列出段落11"/>
    <w:basedOn w:val="1"/>
    <w:qFormat/>
    <w:uiPriority w:val="34"/>
    <w:pPr>
      <w:spacing w:line="360" w:lineRule="atLeast"/>
      <w:ind w:firstLine="420"/>
      <w:jc w:val="left"/>
    </w:pPr>
    <w:rPr>
      <w:rFonts w:ascii="Arial" w:hAnsi="Arial" w:cs="Arial"/>
      <w:sz w:val="24"/>
    </w:rPr>
  </w:style>
  <w:style w:type="paragraph" w:customStyle="1" w:styleId="419">
    <w:name w:val="xl2425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20">
    <w:name w:val="+正文"/>
    <w:basedOn w:val="1"/>
    <w:qFormat/>
    <w:uiPriority w:val="0"/>
    <w:pPr>
      <w:spacing w:line="360" w:lineRule="auto"/>
      <w:ind w:firstLine="200"/>
    </w:pPr>
    <w:rPr>
      <w:sz w:val="24"/>
      <w:szCs w:val="28"/>
    </w:rPr>
  </w:style>
  <w:style w:type="paragraph" w:customStyle="1" w:styleId="421">
    <w:name w:val="xl2427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2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23">
    <w:name w:val="No Spacing1"/>
    <w:qFormat/>
    <w:uiPriority w:val="0"/>
    <w:pPr>
      <w:spacing w:line="360" w:lineRule="auto"/>
      <w:ind w:firstLine="200"/>
    </w:pPr>
    <w:rPr>
      <w:rFonts w:hint="default" w:ascii="宋体" w:hAnsi="宋体" w:eastAsia="宋体" w:cs="Times New Roman"/>
      <w:sz w:val="24"/>
      <w:szCs w:val="22"/>
      <w:lang w:val="en-US" w:eastAsia="zh-CN" w:bidi="ar-SA"/>
    </w:rPr>
  </w:style>
  <w:style w:type="paragraph" w:customStyle="1" w:styleId="42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left"/>
    </w:pPr>
    <w:rPr>
      <w:rFonts w:ascii="微软雅黑" w:hAnsi="微软雅黑" w:eastAsia="微软雅黑" w:cs="宋体"/>
      <w:sz w:val="20"/>
    </w:rPr>
  </w:style>
  <w:style w:type="paragraph" w:customStyle="1" w:styleId="425">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426">
    <w:name w:val="l18"/>
    <w:basedOn w:val="1"/>
    <w:qFormat/>
    <w:uiPriority w:val="0"/>
    <w:pPr>
      <w:widowControl/>
      <w:spacing w:before="30" w:after="100" w:afterAutospacing="1" w:line="270" w:lineRule="atLeast"/>
      <w:ind w:left="90"/>
      <w:jc w:val="left"/>
    </w:pPr>
    <w:rPr>
      <w:rFonts w:ascii="Arial" w:hAnsi="Arial" w:cs="Arial"/>
      <w:color w:val="000000"/>
      <w:sz w:val="18"/>
      <w:szCs w:val="18"/>
    </w:rPr>
  </w:style>
  <w:style w:type="paragraph" w:customStyle="1" w:styleId="427">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428">
    <w:name w:val="Char2"/>
    <w:basedOn w:val="1"/>
    <w:qFormat/>
    <w:uiPriority w:val="0"/>
    <w:pPr>
      <w:ind w:left="432" w:hanging="432"/>
    </w:pPr>
    <w:rPr>
      <w:sz w:val="24"/>
      <w:szCs w:val="24"/>
    </w:rPr>
  </w:style>
  <w:style w:type="paragraph" w:customStyle="1" w:styleId="429">
    <w:name w:val="Char Char Char Char"/>
    <w:basedOn w:val="1"/>
    <w:qFormat/>
    <w:uiPriority w:val="0"/>
    <w:pPr>
      <w:spacing w:line="360" w:lineRule="atLeast"/>
    </w:pPr>
    <w:rPr>
      <w:sz w:val="20"/>
    </w:rPr>
  </w:style>
  <w:style w:type="paragraph" w:customStyle="1" w:styleId="430">
    <w:name w:val="xl13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431">
    <w:name w:val="xl413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32">
    <w:name w:val="xl41295"/>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433">
    <w:name w:val="p15"/>
    <w:basedOn w:val="1"/>
    <w:qFormat/>
    <w:uiPriority w:val="0"/>
    <w:pPr>
      <w:widowControl/>
      <w:ind w:firstLine="420"/>
    </w:pPr>
    <w:rPr>
      <w:rFonts w:ascii="Calibri" w:hAnsi="Calibri" w:cs="宋体"/>
      <w:sz w:val="20"/>
      <w:szCs w:val="21"/>
    </w:rPr>
  </w:style>
  <w:style w:type="paragraph" w:customStyle="1" w:styleId="434">
    <w:name w:val="xl242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35">
    <w:name w:val="xl242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36">
    <w:name w:val="纯文本4"/>
    <w:basedOn w:val="1"/>
    <w:qFormat/>
    <w:uiPriority w:val="0"/>
    <w:rPr>
      <w:rFonts w:ascii="宋体" w:hAnsi="Courier New" w:eastAsia="楷体_GB2312"/>
      <w:sz w:val="26"/>
    </w:rPr>
  </w:style>
  <w:style w:type="paragraph" w:customStyle="1" w:styleId="437">
    <w:name w:val="Char Char Char Char Char Char Char Char Char1 Char"/>
    <w:basedOn w:val="20"/>
    <w:qFormat/>
    <w:uiPriority w:val="0"/>
    <w:pPr>
      <w:spacing w:line="360" w:lineRule="auto"/>
    </w:pPr>
    <w:rPr>
      <w:rFonts w:ascii="Tahoma" w:hAnsi="Tahoma"/>
      <w:sz w:val="24"/>
      <w:szCs w:val="24"/>
    </w:rPr>
  </w:style>
  <w:style w:type="paragraph" w:customStyle="1" w:styleId="438">
    <w:name w:val="xl242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39">
    <w:name w:val="Char Char Char Char Char Char Char Char Char Char"/>
    <w:basedOn w:val="1"/>
    <w:qFormat/>
    <w:uiPriority w:val="0"/>
    <w:pPr>
      <w:tabs>
        <w:tab w:val="left" w:pos="360"/>
      </w:tabs>
      <w:ind w:left="360" w:hanging="360"/>
    </w:pPr>
    <w:rPr>
      <w:sz w:val="24"/>
      <w:szCs w:val="24"/>
    </w:rPr>
  </w:style>
  <w:style w:type="paragraph" w:customStyle="1" w:styleId="440">
    <w:name w:val="msolistparagraph"/>
    <w:basedOn w:val="1"/>
    <w:qFormat/>
    <w:uiPriority w:val="0"/>
    <w:pPr>
      <w:ind w:firstLine="420"/>
    </w:pPr>
    <w:rPr>
      <w:rFonts w:ascii="Calibri" w:hAnsi="Calibri"/>
      <w:szCs w:val="22"/>
    </w:rPr>
  </w:style>
  <w:style w:type="paragraph" w:customStyle="1" w:styleId="441">
    <w:name w:val="xl4132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42">
    <w:name w:val="xl242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43">
    <w:name w:val="xl2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444">
    <w:name w:val="xl413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45">
    <w:name w:val="Plain Text1"/>
    <w:basedOn w:val="1"/>
    <w:qFormat/>
    <w:uiPriority w:val="0"/>
    <w:rPr>
      <w:rFonts w:ascii="宋体" w:hAnsi="Courier New" w:eastAsia="楷体_GB2312"/>
      <w:sz w:val="28"/>
    </w:rPr>
  </w:style>
  <w:style w:type="paragraph" w:customStyle="1" w:styleId="44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47">
    <w:name w:val="列出段落2"/>
    <w:basedOn w:val="1"/>
    <w:qFormat/>
    <w:uiPriority w:val="34"/>
    <w:pPr>
      <w:ind w:firstLine="420"/>
    </w:pPr>
    <w:rPr>
      <w:rFonts w:ascii="Calibri" w:hAnsi="Calibri"/>
      <w:sz w:val="28"/>
      <w:szCs w:val="22"/>
    </w:rPr>
  </w:style>
  <w:style w:type="paragraph" w:customStyle="1" w:styleId="448">
    <w:name w:val="Char Char Char Char Char Char Char Char Char Char Char Char Char Char Char Char"/>
    <w:basedOn w:val="1"/>
    <w:qFormat/>
    <w:uiPriority w:val="0"/>
    <w:pPr>
      <w:tabs>
        <w:tab w:val="left" w:pos="360"/>
      </w:tabs>
    </w:pPr>
    <w:rPr>
      <w:sz w:val="24"/>
      <w:szCs w:val="24"/>
    </w:rPr>
  </w:style>
  <w:style w:type="paragraph" w:customStyle="1" w:styleId="449">
    <w:name w:val="xl10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18"/>
      <w:szCs w:val="18"/>
    </w:rPr>
  </w:style>
  <w:style w:type="paragraph" w:customStyle="1" w:styleId="450">
    <w:name w:val="Default"/>
    <w:next w:val="34"/>
    <w:qFormat/>
    <w:uiPriority w:val="0"/>
    <w:pPr>
      <w:widowControl w:val="0"/>
    </w:pPr>
    <w:rPr>
      <w:rFonts w:hint="default" w:ascii="宋体ラ..." w:hAnsi="Times New Roman" w:eastAsia="宋体ラ..." w:cs="宋体ラ..."/>
      <w:color w:val="000000"/>
      <w:sz w:val="24"/>
      <w:szCs w:val="24"/>
      <w:lang w:val="en-US" w:eastAsia="zh-CN" w:bidi="ar-SA"/>
    </w:rPr>
  </w:style>
  <w:style w:type="paragraph" w:customStyle="1" w:styleId="451">
    <w:name w:val="Char1 Char Char Char"/>
    <w:basedOn w:val="1"/>
    <w:qFormat/>
    <w:uiPriority w:val="0"/>
    <w:rPr>
      <w:rFonts w:ascii="Tahoma" w:hAnsi="Tahoma"/>
      <w:sz w:val="24"/>
    </w:rPr>
  </w:style>
  <w:style w:type="paragraph" w:customStyle="1" w:styleId="45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53">
    <w:name w:val="[正文行首缩进]"/>
    <w:qFormat/>
    <w:uiPriority w:val="0"/>
    <w:pPr>
      <w:widowControl w:val="0"/>
      <w:spacing w:line="360" w:lineRule="auto"/>
      <w:ind w:firstLine="480"/>
      <w:jc w:val="both"/>
    </w:pPr>
    <w:rPr>
      <w:rFonts w:hint="default" w:ascii="Times New Roman" w:hAnsi="Times New Roman" w:eastAsia="宋体" w:cs="Times New Roman"/>
      <w:bCs/>
      <w:color w:val="000000"/>
      <w:sz w:val="24"/>
      <w:szCs w:val="24"/>
      <w:lang w:val="en-US" w:eastAsia="zh-CN" w:bidi="ar-SA"/>
    </w:rPr>
  </w:style>
  <w:style w:type="paragraph" w:customStyle="1" w:styleId="454">
    <w:name w:val="xl2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455">
    <w:name w:val="wfxRecipient"/>
    <w:basedOn w:val="1"/>
    <w:qFormat/>
    <w:uiPriority w:val="0"/>
    <w:pPr>
      <w:widowControl/>
      <w:jc w:val="left"/>
    </w:pPr>
    <w:rPr>
      <w:sz w:val="20"/>
      <w:lang w:eastAsia="en-US"/>
    </w:rPr>
  </w:style>
  <w:style w:type="paragraph" w:customStyle="1" w:styleId="456">
    <w:name w:val="xl242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57">
    <w:name w:val="pa-14"/>
    <w:basedOn w:val="1"/>
    <w:qFormat/>
    <w:uiPriority w:val="0"/>
    <w:pPr>
      <w:widowControl/>
      <w:spacing w:before="100" w:beforeAutospacing="1" w:after="100" w:afterAutospacing="1"/>
      <w:jc w:val="left"/>
    </w:pPr>
    <w:rPr>
      <w:rFonts w:ascii="宋体" w:hAnsi="宋体" w:cs="宋体"/>
      <w:sz w:val="24"/>
      <w:szCs w:val="24"/>
    </w:rPr>
  </w:style>
  <w:style w:type="paragraph" w:customStyle="1" w:styleId="458">
    <w:name w:val="xl24227"/>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pPr>
    <w:rPr>
      <w:rFonts w:ascii="宋体" w:hAnsi="宋体" w:cs="宋体"/>
      <w:b/>
      <w:bCs/>
      <w:sz w:val="20"/>
    </w:rPr>
  </w:style>
  <w:style w:type="paragraph" w:customStyle="1" w:styleId="459">
    <w:name w:val="xl11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460">
    <w:name w:val="xl270"/>
    <w:basedOn w:val="1"/>
    <w:qFormat/>
    <w:uiPriority w:val="0"/>
    <w:pPr>
      <w:widowControl/>
      <w:pBdr>
        <w:left w:val="single" w:color="auto" w:sz="4" w:space="0"/>
        <w:bottom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461">
    <w:name w:val="xl11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462">
    <w:name w:val="Char Char Char Char Char Char Char Char Char1 Char1"/>
    <w:basedOn w:val="20"/>
    <w:qFormat/>
    <w:uiPriority w:val="0"/>
    <w:pPr>
      <w:spacing w:line="360" w:lineRule="auto"/>
    </w:pPr>
    <w:rPr>
      <w:rFonts w:ascii="Tahoma" w:hAnsi="Tahoma"/>
      <w:sz w:val="24"/>
      <w:szCs w:val="24"/>
    </w:rPr>
  </w:style>
  <w:style w:type="paragraph" w:customStyle="1" w:styleId="463">
    <w:name w:val="List Paragraph1"/>
    <w:basedOn w:val="1"/>
    <w:qFormat/>
    <w:uiPriority w:val="0"/>
    <w:pPr>
      <w:ind w:firstLine="420"/>
    </w:pPr>
    <w:rPr>
      <w:rFonts w:hint="eastAsia" w:eastAsia="楷体_GB2312"/>
      <w:sz w:val="26"/>
    </w:rPr>
  </w:style>
  <w:style w:type="paragraph" w:customStyle="1" w:styleId="464">
    <w:name w:val="xl274"/>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465">
    <w:name w:val="正文_0"/>
    <w:qFormat/>
    <w:uiPriority w:val="0"/>
    <w:pPr>
      <w:widowControl w:val="0"/>
      <w:ind w:firstLine="560"/>
      <w:jc w:val="both"/>
    </w:pPr>
    <w:rPr>
      <w:rFonts w:hint="default" w:ascii="Calibri" w:hAnsi="Calibri" w:eastAsia="宋体" w:cs="Times New Roman"/>
      <w:sz w:val="28"/>
      <w:szCs w:val="28"/>
      <w:lang w:val="en-US" w:eastAsia="zh-CN" w:bidi="ar-SA"/>
    </w:rPr>
  </w:style>
  <w:style w:type="paragraph" w:customStyle="1" w:styleId="46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467">
    <w:name w:val="xl41299"/>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468">
    <w:name w:val="xl11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46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470">
    <w:name w:val="标书标准正文"/>
    <w:basedOn w:val="1"/>
    <w:qFormat/>
    <w:uiPriority w:val="0"/>
    <w:pPr>
      <w:spacing w:line="360" w:lineRule="auto"/>
      <w:ind w:firstLine="540"/>
    </w:pPr>
    <w:rPr>
      <w:sz w:val="24"/>
      <w:szCs w:val="24"/>
    </w:rPr>
  </w:style>
  <w:style w:type="paragraph" w:customStyle="1" w:styleId="471">
    <w:name w:val="xl28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472">
    <w:name w:val="xl77"/>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473">
    <w:name w:val="列表段落1"/>
    <w:basedOn w:val="1"/>
    <w:qFormat/>
    <w:uiPriority w:val="34"/>
    <w:pPr>
      <w:ind w:firstLine="420"/>
    </w:pPr>
    <w:rPr>
      <w:szCs w:val="24"/>
    </w:rPr>
  </w:style>
  <w:style w:type="paragraph" w:customStyle="1" w:styleId="474">
    <w:name w:val="xl413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75">
    <w:name w:val="xl2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476">
    <w:name w:val="xl413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477">
    <w:name w:val="xl125"/>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478">
    <w:name w:val="xl413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79">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480">
    <w:name w:val="Char Char Char1 Char Char Char Char"/>
    <w:basedOn w:val="1"/>
    <w:qFormat/>
    <w:uiPriority w:val="0"/>
    <w:pPr>
      <w:widowControl/>
      <w:spacing w:after="160" w:line="240" w:lineRule="exact"/>
      <w:jc w:val="left"/>
    </w:pPr>
    <w:rPr>
      <w:sz w:val="24"/>
      <w:szCs w:val="24"/>
    </w:rPr>
  </w:style>
  <w:style w:type="paragraph" w:customStyle="1" w:styleId="481">
    <w:name w:val="xl13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482">
    <w:name w:val="xl228"/>
    <w:basedOn w:val="1"/>
    <w:qFormat/>
    <w:uiPriority w:val="0"/>
    <w:pPr>
      <w:widowControl/>
      <w:spacing w:before="100" w:beforeAutospacing="1" w:after="100" w:afterAutospacing="1"/>
      <w:jc w:val="left"/>
    </w:pPr>
    <w:rPr>
      <w:rFonts w:ascii="宋体" w:hAnsi="宋体" w:cs="宋体"/>
      <w:sz w:val="24"/>
      <w:szCs w:val="24"/>
    </w:rPr>
  </w:style>
  <w:style w:type="paragraph" w:customStyle="1" w:styleId="483">
    <w:name w:val="xl24259"/>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sz w:val="20"/>
    </w:rPr>
  </w:style>
  <w:style w:type="paragraph" w:customStyle="1" w:styleId="484">
    <w:name w:val="Javis"/>
    <w:basedOn w:val="1"/>
    <w:qFormat/>
    <w:uiPriority w:val="0"/>
    <w:pPr>
      <w:spacing w:line="360" w:lineRule="auto"/>
      <w:ind w:right="210"/>
    </w:pPr>
    <w:rPr>
      <w:rFonts w:cs="宋体"/>
      <w:sz w:val="24"/>
    </w:rPr>
  </w:style>
  <w:style w:type="paragraph" w:customStyle="1" w:styleId="485">
    <w:name w:val="xl124"/>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486">
    <w:name w:val="text12"/>
    <w:basedOn w:val="1"/>
    <w:qFormat/>
    <w:uiPriority w:val="0"/>
    <w:pPr>
      <w:widowControl/>
      <w:spacing w:before="100" w:beforeAutospacing="1" w:after="100" w:afterAutospacing="1"/>
      <w:ind w:firstLine="480"/>
      <w:jc w:val="left"/>
    </w:pPr>
    <w:rPr>
      <w:rFonts w:ascii="Arial Unicode MS" w:hAnsi="Arial Unicode MS"/>
      <w:sz w:val="24"/>
      <w:szCs w:val="24"/>
    </w:rPr>
  </w:style>
  <w:style w:type="paragraph" w:customStyle="1" w:styleId="487">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488">
    <w:name w:val="pic-info"/>
    <w:basedOn w:val="1"/>
    <w:qFormat/>
    <w:uiPriority w:val="0"/>
    <w:pPr>
      <w:widowControl/>
      <w:spacing w:before="100" w:beforeAutospacing="1" w:after="100" w:afterAutospacing="1"/>
      <w:jc w:val="left"/>
    </w:pPr>
    <w:rPr>
      <w:rFonts w:ascii="宋体" w:hAnsi="宋体" w:cs="宋体"/>
      <w:sz w:val="24"/>
      <w:szCs w:val="24"/>
    </w:rPr>
  </w:style>
  <w:style w:type="paragraph" w:customStyle="1" w:styleId="489">
    <w:name w:val="xl11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490">
    <w:name w:val="xl2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491">
    <w:name w:val="xl41309"/>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492">
    <w:name w:val="xl2423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93">
    <w:name w:val="xl2424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94">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495">
    <w:name w:val="正文符号1"/>
    <w:basedOn w:val="269"/>
    <w:qFormat/>
    <w:uiPriority w:val="0"/>
    <w:pPr>
      <w:tabs>
        <w:tab w:val="left" w:pos="840"/>
        <w:tab w:val="left" w:pos="975"/>
        <w:tab w:val="left" w:pos="1080"/>
      </w:tabs>
      <w:ind w:left="975" w:hanging="340"/>
    </w:pPr>
  </w:style>
  <w:style w:type="paragraph" w:customStyle="1" w:styleId="496">
    <w:name w:val="xl2425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sz w:val="20"/>
    </w:rPr>
  </w:style>
  <w:style w:type="paragraph" w:customStyle="1" w:styleId="49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498">
    <w:name w:val="xl24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499">
    <w:name w:val="xl2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500">
    <w:name w:val="xl2426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01">
    <w:name w:val="样式4"/>
    <w:basedOn w:val="62"/>
    <w:qFormat/>
    <w:uiPriority w:val="0"/>
    <w:pPr>
      <w:tabs>
        <w:tab w:val="right" w:leader="dot" w:pos="8494"/>
      </w:tabs>
      <w:spacing w:line="480" w:lineRule="auto"/>
    </w:pPr>
    <w:rPr>
      <w:rFonts w:ascii="Arial" w:hAnsi="Arial" w:eastAsia="黑体" w:cs="Arial"/>
      <w:b w:val="0"/>
      <w:bCs w:val="0"/>
    </w:rPr>
  </w:style>
  <w:style w:type="paragraph" w:customStyle="1" w:styleId="502">
    <w:name w:val="Char2 Char Char Char Char Char Char Char Char Char"/>
    <w:basedOn w:val="1"/>
    <w:qFormat/>
    <w:uiPriority w:val="0"/>
    <w:pPr>
      <w:spacing w:line="360" w:lineRule="auto"/>
      <w:ind w:firstLine="200"/>
    </w:pPr>
    <w:rPr>
      <w:rFonts w:eastAsia="楷体_GB2312"/>
      <w:sz w:val="28"/>
    </w:rPr>
  </w:style>
  <w:style w:type="paragraph" w:customStyle="1" w:styleId="503">
    <w:name w:val="xl2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04">
    <w:name w:val="xl10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05">
    <w:name w:val="xl129"/>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506">
    <w:name w:val="xl2424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07">
    <w:name w:val="font8"/>
    <w:basedOn w:val="1"/>
    <w:qFormat/>
    <w:uiPriority w:val="0"/>
    <w:pPr>
      <w:widowControl/>
      <w:spacing w:before="100" w:beforeAutospacing="1" w:after="100" w:afterAutospacing="1"/>
      <w:jc w:val="left"/>
    </w:pPr>
    <w:rPr>
      <w:sz w:val="22"/>
      <w:szCs w:val="22"/>
    </w:rPr>
  </w:style>
  <w:style w:type="paragraph" w:customStyle="1" w:styleId="508">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509">
    <w:name w:val="xl2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510">
    <w:name w:val="Definition List"/>
    <w:basedOn w:val="1"/>
    <w:next w:val="1"/>
    <w:qFormat/>
    <w:uiPriority w:val="0"/>
    <w:pPr>
      <w:ind w:left="360"/>
      <w:jc w:val="left"/>
    </w:pPr>
    <w:rPr>
      <w:sz w:val="24"/>
    </w:rPr>
  </w:style>
  <w:style w:type="paragraph" w:customStyle="1" w:styleId="511">
    <w:name w:val="Char Char3"/>
    <w:basedOn w:val="1"/>
    <w:qFormat/>
    <w:uiPriority w:val="0"/>
    <w:rPr>
      <w:rFonts w:ascii="Tahoma" w:hAnsi="Tahoma"/>
      <w:sz w:val="24"/>
    </w:rPr>
  </w:style>
  <w:style w:type="paragraph" w:customStyle="1" w:styleId="512">
    <w:name w:val="xl2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13">
    <w:name w:val="xl94"/>
    <w:basedOn w:val="1"/>
    <w:qFormat/>
    <w:uiPriority w:val="0"/>
    <w:pPr>
      <w:widowControl/>
      <w:shd w:val="clear" w:color="000000" w:fill="FFFFFF"/>
      <w:spacing w:before="100" w:beforeAutospacing="1" w:after="100" w:afterAutospacing="1"/>
      <w:jc w:val="left"/>
    </w:pPr>
    <w:rPr>
      <w:rFonts w:ascii="微软雅黑" w:hAnsi="微软雅黑" w:eastAsia="微软雅黑" w:cs="宋体"/>
      <w:sz w:val="20"/>
    </w:rPr>
  </w:style>
  <w:style w:type="paragraph" w:customStyle="1" w:styleId="514">
    <w:name w:val="Char1"/>
    <w:basedOn w:val="20"/>
    <w:qFormat/>
    <w:uiPriority w:val="0"/>
    <w:pPr>
      <w:spacing w:line="436" w:lineRule="exact"/>
      <w:ind w:left="357"/>
      <w:jc w:val="left"/>
      <w:outlineLvl w:val="3"/>
    </w:pPr>
    <w:rPr>
      <w:rFonts w:ascii="Tahoma" w:hAnsi="Tahoma"/>
      <w:b/>
      <w:sz w:val="24"/>
      <w:szCs w:val="24"/>
    </w:rPr>
  </w:style>
  <w:style w:type="paragraph" w:customStyle="1" w:styleId="515">
    <w:name w:val="xl91"/>
    <w:basedOn w:val="1"/>
    <w:qFormat/>
    <w:uiPriority w:val="0"/>
    <w:pPr>
      <w:widowControl/>
      <w:shd w:val="clear" w:color="000000" w:fill="FFFFFF"/>
      <w:spacing w:before="100" w:beforeAutospacing="1" w:after="100" w:afterAutospacing="1"/>
      <w:jc w:val="left"/>
    </w:pPr>
    <w:rPr>
      <w:rFonts w:ascii="宋体" w:hAnsi="宋体" w:cs="宋体"/>
      <w:sz w:val="24"/>
      <w:szCs w:val="24"/>
    </w:rPr>
  </w:style>
  <w:style w:type="paragraph" w:customStyle="1" w:styleId="516">
    <w:name w:val="xl24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517">
    <w:name w:val="xl413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518">
    <w:name w:val="纯文本3"/>
    <w:basedOn w:val="1"/>
    <w:qFormat/>
    <w:uiPriority w:val="0"/>
    <w:rPr>
      <w:rFonts w:ascii="宋体" w:hAnsi="Courier New" w:eastAsia="楷体_GB2312"/>
      <w:sz w:val="26"/>
    </w:rPr>
  </w:style>
  <w:style w:type="paragraph" w:customStyle="1" w:styleId="519">
    <w:name w:val="xl12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20">
    <w:name w:val="xl73"/>
    <w:basedOn w:val="1"/>
    <w:qFormat/>
    <w:uiPriority w:val="99"/>
    <w:pPr>
      <w:widowControl/>
      <w:pBdr>
        <w:top w:val="single" w:color="auto" w:sz="4" w:space="0"/>
        <w:bottom w:val="single" w:color="auto" w:sz="4" w:space="0"/>
      </w:pBdr>
      <w:spacing w:before="100" w:beforeAutospacing="1" w:after="100" w:afterAutospacing="1"/>
      <w:jc w:val="left"/>
    </w:pPr>
    <w:rPr>
      <w:rFonts w:ascii="宋体" w:hAnsi="宋体" w:cs="宋体"/>
      <w:b/>
      <w:bCs/>
      <w:sz w:val="20"/>
    </w:rPr>
  </w:style>
  <w:style w:type="paragraph" w:customStyle="1" w:styleId="521">
    <w:name w:val="Char Char Char Char Char Char1 Char"/>
    <w:basedOn w:val="1"/>
    <w:qFormat/>
    <w:uiPriority w:val="0"/>
    <w:rPr>
      <w:rFonts w:ascii="Tahoma" w:hAnsi="Tahoma"/>
      <w:sz w:val="24"/>
    </w:rPr>
  </w:style>
  <w:style w:type="paragraph" w:customStyle="1" w:styleId="522">
    <w:name w:val="xl71"/>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0"/>
    </w:rPr>
  </w:style>
  <w:style w:type="paragraph" w:customStyle="1" w:styleId="523">
    <w:name w:val="表头"/>
    <w:basedOn w:val="17"/>
    <w:qFormat/>
    <w:uiPriority w:val="0"/>
    <w:pPr>
      <w:keepNext/>
      <w:keepLines/>
      <w:widowControl/>
      <w:spacing w:before="120" w:after="120" w:line="300" w:lineRule="auto"/>
      <w:jc w:val="center"/>
    </w:pPr>
    <w:rPr>
      <w:sz w:val="21"/>
    </w:rPr>
  </w:style>
  <w:style w:type="paragraph" w:customStyle="1" w:styleId="52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25">
    <w:name w:val="xl4132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26">
    <w:name w:val="a1"/>
    <w:basedOn w:val="1"/>
    <w:qFormat/>
    <w:uiPriority w:val="0"/>
    <w:pPr>
      <w:widowControl/>
      <w:spacing w:before="100" w:beforeAutospacing="1" w:after="100" w:afterAutospacing="1"/>
      <w:jc w:val="left"/>
    </w:pPr>
    <w:rPr>
      <w:rFonts w:ascii="宋体" w:hAnsi="宋体" w:cs="宋体"/>
      <w:sz w:val="24"/>
      <w:szCs w:val="24"/>
    </w:rPr>
  </w:style>
  <w:style w:type="paragraph" w:customStyle="1" w:styleId="527">
    <w:name w:val="xl2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28">
    <w:name w:val="xl25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29">
    <w:name w:val="列出段落3"/>
    <w:basedOn w:val="1"/>
    <w:qFormat/>
    <w:uiPriority w:val="99"/>
    <w:pPr>
      <w:ind w:firstLine="420"/>
    </w:pPr>
    <w:rPr>
      <w:szCs w:val="24"/>
    </w:rPr>
  </w:style>
  <w:style w:type="paragraph" w:customStyle="1" w:styleId="530">
    <w:name w:val="表格形式1"/>
    <w:basedOn w:val="1"/>
    <w:qFormat/>
    <w:uiPriority w:val="0"/>
    <w:pPr>
      <w:spacing w:line="360" w:lineRule="atLeast"/>
      <w:jc w:val="left"/>
    </w:pPr>
    <w:rPr>
      <w:rFonts w:ascii="宋体" w:eastAsia="仿宋_GB2312"/>
      <w:sz w:val="24"/>
      <w:szCs w:val="24"/>
    </w:rPr>
  </w:style>
  <w:style w:type="paragraph" w:customStyle="1" w:styleId="531">
    <w:name w:val="xl28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32"/>
      <w:szCs w:val="32"/>
    </w:rPr>
  </w:style>
  <w:style w:type="paragraph" w:customStyle="1" w:styleId="532">
    <w:name w:val="xl2424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33">
    <w:name w:val="xl4133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534">
    <w:name w:val="xl12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35">
    <w:name w:val="IBM 正文"/>
    <w:basedOn w:val="1"/>
    <w:qFormat/>
    <w:uiPriority w:val="0"/>
    <w:pPr>
      <w:spacing w:line="400" w:lineRule="exact"/>
    </w:pPr>
    <w:rPr>
      <w:spacing w:val="20"/>
      <w:sz w:val="24"/>
    </w:rPr>
  </w:style>
  <w:style w:type="paragraph" w:customStyle="1" w:styleId="536">
    <w:name w:val="xl413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537">
    <w:name w:val="xl2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38">
    <w:name w:val="xl2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39">
    <w:name w:val="xl41307"/>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540">
    <w:name w:val="表格文本"/>
    <w:qFormat/>
    <w:uiPriority w:val="0"/>
    <w:pPr>
      <w:tabs>
        <w:tab w:val="decimal" w:pos="0"/>
      </w:tabs>
    </w:pPr>
    <w:rPr>
      <w:rFonts w:hint="default" w:ascii="Arial" w:hAnsi="Arial" w:eastAsia="宋体" w:cs="Times New Roman"/>
      <w:sz w:val="21"/>
      <w:szCs w:val="21"/>
      <w:lang w:val="en-US" w:eastAsia="zh-CN" w:bidi="ar-SA"/>
    </w:rPr>
  </w:style>
  <w:style w:type="paragraph" w:customStyle="1" w:styleId="541">
    <w:name w:val="xl41302"/>
    <w:basedOn w:val="1"/>
    <w:qFormat/>
    <w:uiPriority w:val="0"/>
    <w:pPr>
      <w:widowControl/>
      <w:pBdr>
        <w:top w:val="single" w:color="auto" w:sz="4" w:space="0"/>
        <w:left w:val="single" w:color="auto" w:sz="4" w:space="0"/>
        <w:bottom w:val="single" w:color="auto" w:sz="4" w:space="0"/>
        <w:right w:val="single" w:color="auto" w:sz="4" w:space="0"/>
      </w:pBdr>
      <w:shd w:val="clear" w:color="000000" w:fill="B6DDE8"/>
      <w:spacing w:before="100" w:beforeAutospacing="1" w:after="100" w:afterAutospacing="1"/>
      <w:jc w:val="left"/>
    </w:pPr>
    <w:rPr>
      <w:rFonts w:ascii="宋体" w:hAnsi="宋体" w:cs="宋体"/>
      <w:b/>
      <w:bCs/>
      <w:sz w:val="24"/>
      <w:szCs w:val="24"/>
    </w:rPr>
  </w:style>
  <w:style w:type="paragraph" w:customStyle="1" w:styleId="542">
    <w:name w:val="absatz4"/>
    <w:basedOn w:val="1"/>
    <w:qFormat/>
    <w:uiPriority w:val="0"/>
    <w:pPr>
      <w:widowControl/>
      <w:tabs>
        <w:tab w:val="left" w:pos="709"/>
        <w:tab w:val="left" w:pos="2268"/>
        <w:tab w:val="right" w:pos="10206"/>
      </w:tabs>
      <w:ind w:left="2268" w:hanging="2268"/>
    </w:pPr>
    <w:rPr>
      <w:sz w:val="24"/>
      <w:lang w:val="de-DE" w:eastAsia="de-DE"/>
    </w:rPr>
  </w:style>
  <w:style w:type="paragraph" w:customStyle="1" w:styleId="543">
    <w:name w:val="Char Char Char Char Char Char Char"/>
    <w:basedOn w:val="1"/>
    <w:qFormat/>
    <w:uiPriority w:val="0"/>
    <w:rPr>
      <w:rFonts w:ascii="仿宋_GB2312" w:eastAsia="仿宋_GB2312"/>
      <w:b/>
      <w:sz w:val="32"/>
      <w:szCs w:val="32"/>
    </w:rPr>
  </w:style>
  <w:style w:type="paragraph" w:customStyle="1" w:styleId="544">
    <w:name w:val="_Style 101"/>
    <w:basedOn w:val="1"/>
    <w:next w:val="345"/>
    <w:qFormat/>
    <w:uiPriority w:val="34"/>
    <w:pPr>
      <w:spacing w:line="360" w:lineRule="auto"/>
      <w:ind w:firstLine="420"/>
    </w:pPr>
    <w:rPr>
      <w:rFonts w:ascii="Calibri" w:hAnsi="Calibri"/>
      <w:lang w:val="zh-CN"/>
    </w:rPr>
  </w:style>
  <w:style w:type="paragraph" w:customStyle="1" w:styleId="545">
    <w:name w:val="小四 段落 宋体 Char Char"/>
    <w:basedOn w:val="1"/>
    <w:qFormat/>
    <w:uiPriority w:val="0"/>
    <w:pPr>
      <w:spacing w:line="360" w:lineRule="auto"/>
      <w:ind w:firstLine="480"/>
    </w:pPr>
    <w:rPr>
      <w:rFonts w:ascii="宋体" w:hAnsi="宋体"/>
      <w:sz w:val="24"/>
      <w:szCs w:val="24"/>
    </w:rPr>
  </w:style>
  <w:style w:type="paragraph" w:customStyle="1" w:styleId="546">
    <w:name w:val="5级方案标题"/>
    <w:basedOn w:val="5"/>
    <w:qFormat/>
    <w:uiPriority w:val="0"/>
    <w:pPr>
      <w:keepLines/>
      <w:spacing w:line="377" w:lineRule="auto"/>
      <w:outlineLvl w:val="4"/>
    </w:pPr>
    <w:rPr>
      <w:rFonts w:ascii="宋体" w:hAnsi="宋体"/>
      <w:sz w:val="24"/>
      <w:szCs w:val="28"/>
      <w:lang w:val="zh-CN"/>
    </w:rPr>
  </w:style>
  <w:style w:type="paragraph" w:customStyle="1" w:styleId="547">
    <w:name w:val="xl21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48">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49">
    <w:name w:val="xl242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50">
    <w:name w:val="xl24261"/>
    <w:basedOn w:val="1"/>
    <w:qFormat/>
    <w:uiPriority w:val="0"/>
    <w:pPr>
      <w:widowControl/>
      <w:pBdr>
        <w:left w:val="single" w:color="auto" w:sz="4" w:space="0"/>
      </w:pBdr>
      <w:spacing w:before="100" w:beforeAutospacing="1" w:after="100" w:afterAutospacing="1"/>
      <w:jc w:val="center"/>
    </w:pPr>
    <w:rPr>
      <w:rFonts w:ascii="宋体" w:hAnsi="宋体" w:cs="宋体"/>
      <w:sz w:val="20"/>
    </w:rPr>
  </w:style>
  <w:style w:type="paragraph" w:customStyle="1" w:styleId="551">
    <w:name w:val="xl2425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52">
    <w:name w:val="xl2426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53">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54">
    <w:name w:val="_Style 4"/>
    <w:basedOn w:val="1"/>
    <w:qFormat/>
    <w:uiPriority w:val="34"/>
    <w:pPr>
      <w:ind w:firstLine="420"/>
    </w:pPr>
    <w:rPr>
      <w:rFonts w:ascii="Calibri" w:hAnsi="Calibri"/>
      <w:szCs w:val="22"/>
    </w:rPr>
  </w:style>
  <w:style w:type="paragraph" w:customStyle="1" w:styleId="555">
    <w:name w:val="xl413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56">
    <w:name w:val="xl271"/>
    <w:basedOn w:val="1"/>
    <w:qFormat/>
    <w:uiPriority w:val="0"/>
    <w:pPr>
      <w:widowControl/>
      <w:pBdr>
        <w:bottom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557">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center"/>
    </w:pPr>
    <w:rPr>
      <w:rFonts w:ascii="微软雅黑" w:hAnsi="微软雅黑" w:eastAsia="微软雅黑" w:cs="宋体"/>
      <w:sz w:val="20"/>
    </w:rPr>
  </w:style>
  <w:style w:type="paragraph" w:customStyle="1" w:styleId="558">
    <w:name w:val="xl2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59">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560">
    <w:name w:val="xl279"/>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sz w:val="32"/>
      <w:szCs w:val="32"/>
    </w:rPr>
  </w:style>
  <w:style w:type="paragraph" w:customStyle="1" w:styleId="56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62">
    <w:name w:val="xl11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63">
    <w:name w:val="xl242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64">
    <w:name w:val="正文 A"/>
    <w:next w:val="227"/>
    <w:qFormat/>
    <w:uiPriority w:val="0"/>
    <w:pPr>
      <w:widowControl w:val="0"/>
      <w:jc w:val="both"/>
    </w:pPr>
    <w:rPr>
      <w:rFonts w:hint="default" w:ascii="Times New Roman" w:hAnsi="Arial Unicode MS" w:eastAsia="Arial Unicode MS" w:cs="Arial Unicode MS"/>
      <w:color w:val="000000"/>
      <w:sz w:val="21"/>
      <w:szCs w:val="21"/>
      <w:lang w:val="en-US" w:eastAsia="zh-CN" w:bidi="ar-SA"/>
    </w:rPr>
  </w:style>
  <w:style w:type="paragraph" w:customStyle="1" w:styleId="565">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66">
    <w:name w:val="xl13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567">
    <w:name w:val="xl41333"/>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568">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569">
    <w:name w:val="正文 New"/>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570">
    <w:name w:val="正文文本 21"/>
    <w:basedOn w:val="1"/>
    <w:qFormat/>
    <w:uiPriority w:val="0"/>
    <w:pPr>
      <w:widowControl/>
      <w:ind w:left="720" w:hanging="720"/>
    </w:pPr>
    <w:rPr>
      <w:sz w:val="24"/>
      <w:lang w:val="en-GB"/>
    </w:rPr>
  </w:style>
  <w:style w:type="paragraph" w:customStyle="1" w:styleId="571">
    <w:name w:val="普通正文"/>
    <w:basedOn w:val="1"/>
    <w:qFormat/>
    <w:uiPriority w:val="0"/>
    <w:pPr>
      <w:ind w:firstLine="425"/>
      <w:jc w:val="left"/>
    </w:pPr>
    <w:rPr>
      <w:rFonts w:ascii="宋体" w:hAnsi="宋体"/>
      <w:color w:val="000000"/>
      <w:sz w:val="24"/>
    </w:rPr>
  </w:style>
  <w:style w:type="paragraph" w:customStyle="1" w:styleId="572">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573">
    <w:name w:val="2级方案标题"/>
    <w:basedOn w:val="3"/>
    <w:qFormat/>
    <w:uiPriority w:val="0"/>
    <w:pPr>
      <w:keepLines/>
      <w:tabs>
        <w:tab w:val="left" w:pos="1002"/>
        <w:tab w:val="left" w:pos="2717"/>
      </w:tabs>
      <w:spacing w:before="100" w:beforeAutospacing="1" w:after="100" w:afterAutospacing="1"/>
      <w:jc w:val="both"/>
    </w:pPr>
    <w:rPr>
      <w:bCs w:val="0"/>
      <w:color w:val="000000"/>
      <w:sz w:val="32"/>
      <w:szCs w:val="32"/>
    </w:rPr>
  </w:style>
  <w:style w:type="paragraph" w:customStyle="1" w:styleId="574">
    <w:name w:val="xl242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75">
    <w:name w:val="正文alt+z"/>
    <w:basedOn w:val="1"/>
    <w:qFormat/>
    <w:uiPriority w:val="0"/>
    <w:pPr>
      <w:spacing w:line="360" w:lineRule="auto"/>
      <w:ind w:firstLine="200"/>
    </w:pPr>
    <w:rPr>
      <w:rFonts w:ascii="Time New Roman" w:hAnsi="Time New Roman"/>
      <w:sz w:val="24"/>
      <w:szCs w:val="24"/>
    </w:rPr>
  </w:style>
  <w:style w:type="paragraph" w:customStyle="1" w:styleId="576">
    <w:name w:val="正文－恩普"/>
    <w:basedOn w:val="16"/>
    <w:qFormat/>
    <w:uiPriority w:val="0"/>
    <w:pPr>
      <w:spacing w:line="360" w:lineRule="auto"/>
      <w:ind w:firstLine="200"/>
    </w:pPr>
    <w:rPr>
      <w:rFonts w:eastAsia="楷体_GB2312"/>
      <w:sz w:val="24"/>
    </w:rPr>
  </w:style>
  <w:style w:type="paragraph" w:customStyle="1" w:styleId="577">
    <w:name w:val="Char Char Char Char Char Char Char Char Char"/>
    <w:basedOn w:val="1"/>
    <w:qFormat/>
    <w:uiPriority w:val="0"/>
    <w:pPr>
      <w:widowControl/>
      <w:spacing w:after="160" w:line="240" w:lineRule="exact"/>
      <w:jc w:val="left"/>
    </w:pPr>
    <w:rPr>
      <w:sz w:val="24"/>
      <w:szCs w:val="24"/>
    </w:rPr>
  </w:style>
  <w:style w:type="paragraph" w:customStyle="1" w:styleId="578">
    <w:name w:val="font6"/>
    <w:basedOn w:val="1"/>
    <w:qFormat/>
    <w:uiPriority w:val="0"/>
    <w:pPr>
      <w:widowControl/>
      <w:spacing w:before="100" w:beforeAutospacing="1" w:after="100" w:afterAutospacing="1"/>
      <w:jc w:val="left"/>
    </w:pPr>
    <w:rPr>
      <w:rFonts w:ascii="宋体" w:hAnsi="宋体" w:cs="宋体"/>
      <w:sz w:val="18"/>
      <w:szCs w:val="18"/>
    </w:rPr>
  </w:style>
  <w:style w:type="paragraph" w:customStyle="1" w:styleId="579">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80">
    <w:name w:val="xl242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81">
    <w:name w:val="xl11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582">
    <w:name w:val="xl24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rPr>
  </w:style>
  <w:style w:type="paragraph" w:customStyle="1" w:styleId="583">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0"/>
    </w:rPr>
  </w:style>
  <w:style w:type="paragraph" w:customStyle="1" w:styleId="584">
    <w:name w:val="xl2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85">
    <w:name w:val="正式行文"/>
    <w:basedOn w:val="1"/>
    <w:qFormat/>
    <w:uiPriority w:val="0"/>
    <w:pPr>
      <w:spacing w:line="360" w:lineRule="auto"/>
      <w:ind w:firstLine="200"/>
    </w:pPr>
    <w:rPr>
      <w:sz w:val="24"/>
      <w:szCs w:val="24"/>
    </w:rPr>
  </w:style>
  <w:style w:type="paragraph" w:customStyle="1" w:styleId="586">
    <w:name w:val="xl2423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8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588">
    <w:name w:val="xl11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589">
    <w:name w:val="Char Char11"/>
    <w:basedOn w:val="1"/>
    <w:qFormat/>
    <w:uiPriority w:val="0"/>
    <w:pPr>
      <w:widowControl/>
      <w:spacing w:after="160" w:line="240" w:lineRule="exact"/>
      <w:jc w:val="left"/>
    </w:pPr>
    <w:rPr>
      <w:rFonts w:ascii="Verdana" w:hAnsi="Verdana"/>
      <w:sz w:val="20"/>
      <w:lang w:eastAsia="en-US"/>
    </w:rPr>
  </w:style>
  <w:style w:type="paragraph" w:customStyle="1" w:styleId="590">
    <w:name w:val="xl217"/>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59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92">
    <w:name w:val="xl24255"/>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593">
    <w:name w:val="Char Char1 Char Char Char Char Char Char Char"/>
    <w:basedOn w:val="1"/>
    <w:qFormat/>
    <w:uiPriority w:val="0"/>
    <w:rPr>
      <w:rFonts w:eastAsia="楷体_GB2312"/>
      <w:sz w:val="26"/>
    </w:rPr>
  </w:style>
  <w:style w:type="paragraph" w:customStyle="1" w:styleId="594">
    <w:name w:val="xl131"/>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595">
    <w:name w:val="Definition Term"/>
    <w:basedOn w:val="1"/>
    <w:next w:val="1"/>
    <w:qFormat/>
    <w:uiPriority w:val="0"/>
    <w:pPr>
      <w:jc w:val="left"/>
    </w:pPr>
    <w:rPr>
      <w:sz w:val="24"/>
    </w:rPr>
  </w:style>
  <w:style w:type="paragraph" w:customStyle="1" w:styleId="596">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597">
    <w:name w:val="分发表内容"/>
    <w:basedOn w:val="1"/>
    <w:qFormat/>
    <w:uiPriority w:val="0"/>
    <w:pPr>
      <w:spacing w:before="120" w:after="120"/>
      <w:jc w:val="center"/>
    </w:pPr>
    <w:rPr>
      <w:rFonts w:ascii="昆仑仿宋" w:eastAsia="昆仑仿宋"/>
      <w:sz w:val="20"/>
    </w:rPr>
  </w:style>
  <w:style w:type="paragraph" w:customStyle="1" w:styleId="598">
    <w:name w:val="List Paragraph2"/>
    <w:basedOn w:val="1"/>
    <w:qFormat/>
    <w:uiPriority w:val="34"/>
    <w:pPr>
      <w:spacing w:line="360" w:lineRule="auto"/>
      <w:ind w:firstLine="420"/>
    </w:pPr>
    <w:rPr>
      <w:rFonts w:ascii="Calibri" w:hAnsi="Calibri"/>
      <w:sz w:val="24"/>
    </w:rPr>
  </w:style>
  <w:style w:type="paragraph" w:customStyle="1" w:styleId="599">
    <w:name w:val="xl2424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00">
    <w:name w:val="普通(Web)9"/>
    <w:basedOn w:val="1"/>
    <w:qFormat/>
    <w:uiPriority w:val="0"/>
    <w:pPr>
      <w:widowControl/>
      <w:spacing w:before="100" w:beforeAutospacing="1" w:after="100" w:afterAutospacing="1"/>
      <w:jc w:val="left"/>
    </w:pPr>
    <w:rPr>
      <w:rFonts w:ascii="宋体" w:hAnsi="宋体" w:cs="宋体"/>
      <w:sz w:val="20"/>
      <w:szCs w:val="21"/>
    </w:rPr>
  </w:style>
  <w:style w:type="paragraph" w:customStyle="1" w:styleId="601">
    <w:name w:val="Default Paragraph Font Para Char"/>
    <w:basedOn w:val="1"/>
    <w:qFormat/>
    <w:uiPriority w:val="0"/>
    <w:pPr>
      <w:widowControl/>
      <w:spacing w:after="160" w:line="240" w:lineRule="exact"/>
      <w:jc w:val="left"/>
    </w:pPr>
  </w:style>
  <w:style w:type="paragraph" w:customStyle="1" w:styleId="602">
    <w:name w:val="1级方案标题"/>
    <w:basedOn w:val="1"/>
    <w:qFormat/>
    <w:uiPriority w:val="0"/>
    <w:pPr>
      <w:keepNext/>
      <w:keepLines/>
      <w:tabs>
        <w:tab w:val="left" w:pos="1418"/>
      </w:tabs>
      <w:spacing w:before="340" w:after="330" w:line="360" w:lineRule="auto"/>
      <w:jc w:val="center"/>
      <w:outlineLvl w:val="0"/>
    </w:pPr>
    <w:rPr>
      <w:rFonts w:ascii="宋体" w:hAnsi="宋体"/>
      <w:b/>
      <w:bCs/>
      <w:sz w:val="44"/>
      <w:szCs w:val="44"/>
    </w:rPr>
  </w:style>
  <w:style w:type="paragraph" w:customStyle="1" w:styleId="603">
    <w:name w:val="_Style 447"/>
    <w:unhideWhenUsed/>
    <w:qFormat/>
    <w:uiPriority w:val="99"/>
    <w:rPr>
      <w:rFonts w:hint="default" w:ascii="Times New Roman" w:hAnsi="Times New Roman" w:eastAsia="宋体" w:cs="Times New Roman"/>
      <w:sz w:val="21"/>
      <w:lang w:val="en-US" w:eastAsia="zh-CN" w:bidi="ar-SA"/>
    </w:rPr>
  </w:style>
  <w:style w:type="paragraph" w:customStyle="1" w:styleId="604">
    <w:name w:val="p17"/>
    <w:basedOn w:val="1"/>
    <w:qFormat/>
    <w:uiPriority w:val="0"/>
    <w:pPr>
      <w:widowControl/>
    </w:pPr>
    <w:rPr>
      <w:szCs w:val="21"/>
    </w:rPr>
  </w:style>
  <w:style w:type="paragraph" w:customStyle="1" w:styleId="605">
    <w:name w:val="xl413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06">
    <w:name w:val="xl242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07">
    <w:name w:val="xl413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08">
    <w:name w:val="xl2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609">
    <w:name w:val="xl11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10">
    <w:name w:val="正文标准"/>
    <w:basedOn w:val="1"/>
    <w:qFormat/>
    <w:uiPriority w:val="0"/>
    <w:pPr>
      <w:spacing w:line="360" w:lineRule="auto"/>
      <w:ind w:firstLine="200"/>
    </w:pPr>
    <w:rPr>
      <w:rFonts w:eastAsia="MS Gothic"/>
      <w:sz w:val="24"/>
      <w:szCs w:val="21"/>
    </w:rPr>
  </w:style>
  <w:style w:type="paragraph" w:customStyle="1" w:styleId="611">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12">
    <w:name w:val="xl24257"/>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13">
    <w:name w:val="剑鱼三"/>
    <w:basedOn w:val="1"/>
    <w:next w:val="1"/>
    <w:qFormat/>
    <w:uiPriority w:val="0"/>
    <w:pPr>
      <w:ind w:left="840" w:hanging="420"/>
    </w:pPr>
    <w:rPr>
      <w:rFonts w:ascii="Arial" w:hAnsi="Arial"/>
      <w:b/>
      <w:sz w:val="20"/>
      <w:szCs w:val="21"/>
    </w:rPr>
  </w:style>
  <w:style w:type="paragraph" w:customStyle="1" w:styleId="614">
    <w:name w:val="xl41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615">
    <w:name w:val="xl2424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16">
    <w:name w:val="style23"/>
    <w:basedOn w:val="1"/>
    <w:qFormat/>
    <w:uiPriority w:val="0"/>
    <w:pPr>
      <w:widowControl/>
      <w:spacing w:before="100" w:beforeAutospacing="1" w:after="100" w:afterAutospacing="1"/>
      <w:jc w:val="left"/>
    </w:pPr>
    <w:rPr>
      <w:rFonts w:ascii="Arial Unicode MS" w:hAnsi="Arial Unicode MS" w:eastAsia="Arial Unicode MS" w:cs="Arial Unicode MS"/>
      <w:sz w:val="18"/>
      <w:szCs w:val="18"/>
    </w:rPr>
  </w:style>
  <w:style w:type="paragraph" w:customStyle="1" w:styleId="617">
    <w:name w:val="Char"/>
    <w:basedOn w:val="1"/>
    <w:qFormat/>
    <w:uiPriority w:val="0"/>
    <w:pPr>
      <w:tabs>
        <w:tab w:val="left" w:pos="480"/>
      </w:tabs>
      <w:ind w:left="480" w:hanging="480"/>
    </w:pPr>
    <w:rPr>
      <w:sz w:val="24"/>
      <w:szCs w:val="24"/>
    </w:rPr>
  </w:style>
  <w:style w:type="paragraph" w:customStyle="1" w:styleId="618">
    <w:name w:val="xl272"/>
    <w:basedOn w:val="1"/>
    <w:qFormat/>
    <w:uiPriority w:val="0"/>
    <w:pPr>
      <w:widowControl/>
      <w:pBdr>
        <w:bottom w:val="single" w:color="auto" w:sz="4" w:space="0"/>
        <w:right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61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620">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21">
    <w:name w:val="默认段落字体 Para Char Char Char Char Char Char Char"/>
    <w:basedOn w:val="20"/>
    <w:qFormat/>
    <w:uiPriority w:val="0"/>
    <w:pPr>
      <w:spacing w:line="436" w:lineRule="exact"/>
      <w:ind w:left="357"/>
      <w:jc w:val="left"/>
      <w:outlineLvl w:val="3"/>
    </w:pPr>
    <w:rPr>
      <w:rFonts w:ascii="Tahoma" w:hAnsi="Tahoma"/>
      <w:b/>
      <w:sz w:val="24"/>
      <w:szCs w:val="24"/>
    </w:rPr>
  </w:style>
  <w:style w:type="paragraph" w:customStyle="1" w:styleId="622">
    <w:name w:val="Char Char Char Char Char Char Char Char Char Char1"/>
    <w:basedOn w:val="20"/>
    <w:qFormat/>
    <w:uiPriority w:val="0"/>
    <w:rPr>
      <w:rFonts w:ascii="Tahoma" w:hAnsi="Tahoma" w:cs="Tahoma"/>
      <w:sz w:val="24"/>
      <w:szCs w:val="24"/>
    </w:rPr>
  </w:style>
  <w:style w:type="paragraph" w:customStyle="1" w:styleId="623">
    <w:name w:val="xl85"/>
    <w:basedOn w:val="1"/>
    <w:qFormat/>
    <w:uiPriority w:val="0"/>
    <w:pPr>
      <w:widowControl/>
      <w:spacing w:before="100" w:beforeAutospacing="1" w:after="100" w:afterAutospacing="1"/>
      <w:jc w:val="left"/>
    </w:pPr>
    <w:rPr>
      <w:rFonts w:ascii="宋体" w:hAnsi="宋体" w:cs="宋体"/>
      <w:sz w:val="24"/>
      <w:szCs w:val="24"/>
    </w:rPr>
  </w:style>
  <w:style w:type="paragraph" w:customStyle="1" w:styleId="624">
    <w:name w:val="Char Char Char"/>
    <w:basedOn w:val="1"/>
    <w:qFormat/>
    <w:uiPriority w:val="0"/>
    <w:pPr>
      <w:tabs>
        <w:tab w:val="left" w:pos="1545"/>
      </w:tabs>
      <w:ind w:left="375" w:hanging="375"/>
    </w:pPr>
  </w:style>
  <w:style w:type="paragraph" w:customStyle="1" w:styleId="625">
    <w:name w:val="xl28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626">
    <w:name w:val="_Style 30"/>
    <w:basedOn w:val="1"/>
    <w:next w:val="33"/>
    <w:qFormat/>
    <w:uiPriority w:val="0"/>
    <w:rPr>
      <w:rFonts w:ascii="宋体" w:hAnsi="Courier New"/>
    </w:rPr>
  </w:style>
  <w:style w:type="paragraph" w:customStyle="1" w:styleId="627">
    <w:name w:val="xl413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0"/>
    </w:rPr>
  </w:style>
  <w:style w:type="paragraph" w:customStyle="1" w:styleId="628">
    <w:name w:val="xl412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29">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630">
    <w:name w:val="xl4132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31">
    <w:name w:val="xl413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632">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633">
    <w:name w:val="xl74"/>
    <w:basedOn w:val="1"/>
    <w:qFormat/>
    <w:uiPriority w:val="0"/>
    <w:pPr>
      <w:widowControl/>
      <w:spacing w:before="100" w:beforeAutospacing="1" w:after="100" w:afterAutospacing="1"/>
      <w:jc w:val="left"/>
    </w:pPr>
    <w:rPr>
      <w:rFonts w:ascii="宋体" w:hAnsi="宋体" w:cs="宋体"/>
      <w:sz w:val="24"/>
      <w:szCs w:val="24"/>
    </w:rPr>
  </w:style>
  <w:style w:type="paragraph" w:customStyle="1" w:styleId="634">
    <w:name w:val="xl13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35">
    <w:name w:val="修订1"/>
    <w:semiHidden/>
    <w:qFormat/>
    <w:uiPriority w:val="0"/>
    <w:rPr>
      <w:rFonts w:hint="default" w:ascii="Times New Roman" w:hAnsi="Times New Roman" w:eastAsia="楷体_GB2312" w:cs="Times New Roman"/>
      <w:sz w:val="28"/>
      <w:lang w:val="en-US" w:eastAsia="zh-CN" w:bidi="ar-SA"/>
    </w:rPr>
  </w:style>
  <w:style w:type="paragraph" w:customStyle="1" w:styleId="636">
    <w:name w:val="xl2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637">
    <w:name w:val="xl127"/>
    <w:basedOn w:val="1"/>
    <w:qFormat/>
    <w:uiPriority w:val="0"/>
    <w:pPr>
      <w:widowControl/>
      <w:pBdr>
        <w:bottom w:val="single" w:color="auto" w:sz="4" w:space="0"/>
      </w:pBdr>
      <w:spacing w:before="100" w:beforeAutospacing="1" w:after="100" w:afterAutospacing="1"/>
      <w:jc w:val="center"/>
    </w:pPr>
    <w:rPr>
      <w:rFonts w:ascii="宋体" w:hAnsi="宋体" w:cs="宋体"/>
      <w:b/>
      <w:bCs/>
      <w:sz w:val="28"/>
      <w:szCs w:val="28"/>
    </w:rPr>
  </w:style>
  <w:style w:type="paragraph" w:customStyle="1" w:styleId="638">
    <w:name w:val="p0"/>
    <w:basedOn w:val="1"/>
    <w:qFormat/>
    <w:uiPriority w:val="0"/>
    <w:pPr>
      <w:widowControl/>
    </w:pPr>
    <w:rPr>
      <w:spacing w:val="16"/>
    </w:rPr>
  </w:style>
  <w:style w:type="paragraph" w:customStyle="1" w:styleId="639">
    <w:name w:val="xl275"/>
    <w:basedOn w:val="1"/>
    <w:qFormat/>
    <w:uiPriority w:val="0"/>
    <w:pPr>
      <w:widowControl/>
      <w:pBdr>
        <w:top w:val="single" w:color="auto" w:sz="4" w:space="0"/>
        <w:left w:val="single" w:color="auto" w:sz="4" w:space="0"/>
        <w:bottom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640">
    <w:name w:val="xl413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4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20"/>
    </w:rPr>
  </w:style>
  <w:style w:type="paragraph" w:customStyle="1" w:styleId="642">
    <w:name w:val="文档正文"/>
    <w:basedOn w:val="1"/>
    <w:qFormat/>
    <w:uiPriority w:val="0"/>
    <w:pPr>
      <w:spacing w:line="500" w:lineRule="exact"/>
      <w:ind w:firstLine="567"/>
    </w:pPr>
    <w:rPr>
      <w:rFonts w:ascii="仿宋_GB2312" w:eastAsia="仿宋_GB2312"/>
      <w:sz w:val="28"/>
    </w:rPr>
  </w:style>
  <w:style w:type="paragraph" w:customStyle="1" w:styleId="643">
    <w:name w:val="Char11"/>
    <w:basedOn w:val="20"/>
    <w:qFormat/>
    <w:uiPriority w:val="0"/>
    <w:pPr>
      <w:spacing w:line="436" w:lineRule="exact"/>
      <w:ind w:left="357"/>
      <w:jc w:val="left"/>
      <w:outlineLvl w:val="3"/>
    </w:pPr>
    <w:rPr>
      <w:rFonts w:ascii="Tahoma" w:hAnsi="Tahoma"/>
      <w:b/>
      <w:sz w:val="24"/>
      <w:szCs w:val="24"/>
    </w:rPr>
  </w:style>
  <w:style w:type="paragraph" w:customStyle="1" w:styleId="644">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45">
    <w:name w:val="此正文"/>
    <w:basedOn w:val="1"/>
    <w:qFormat/>
    <w:uiPriority w:val="0"/>
    <w:pPr>
      <w:spacing w:line="360" w:lineRule="auto"/>
      <w:ind w:firstLine="200"/>
    </w:pPr>
    <w:rPr>
      <w:sz w:val="24"/>
      <w:szCs w:val="24"/>
    </w:rPr>
  </w:style>
  <w:style w:type="paragraph" w:customStyle="1" w:styleId="646">
    <w:name w:val="xl2425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47">
    <w:name w:val="xl25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648">
    <w:name w:val="xl2426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49">
    <w:name w:val="style1"/>
    <w:basedOn w:val="1"/>
    <w:qFormat/>
    <w:uiPriority w:val="0"/>
    <w:pPr>
      <w:widowControl/>
      <w:spacing w:before="100" w:beforeAutospacing="1" w:after="100" w:afterAutospacing="1"/>
      <w:jc w:val="left"/>
    </w:pPr>
    <w:rPr>
      <w:rFonts w:ascii="宋体" w:hAnsi="宋体" w:cs="宋体"/>
      <w:sz w:val="24"/>
      <w:szCs w:val="24"/>
    </w:rPr>
  </w:style>
  <w:style w:type="paragraph" w:customStyle="1" w:styleId="650">
    <w:name w:val="xl2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51">
    <w:name w:val="正文文本缩进 21"/>
    <w:basedOn w:val="1"/>
    <w:qFormat/>
    <w:uiPriority w:val="0"/>
    <w:pPr>
      <w:spacing w:line="360" w:lineRule="auto"/>
      <w:ind w:left="-61" w:firstLine="458"/>
    </w:pPr>
    <w:rPr>
      <w:rFonts w:ascii="宋体" w:hAnsi="宋体"/>
      <w:sz w:val="20"/>
    </w:rPr>
  </w:style>
  <w:style w:type="paragraph" w:customStyle="1" w:styleId="652">
    <w:name w:val="font9"/>
    <w:basedOn w:val="1"/>
    <w:qFormat/>
    <w:uiPriority w:val="0"/>
    <w:pPr>
      <w:widowControl/>
      <w:spacing w:before="100" w:beforeAutospacing="1" w:after="100" w:afterAutospacing="1"/>
      <w:jc w:val="left"/>
    </w:pPr>
    <w:rPr>
      <w:rFonts w:ascii="宋体" w:hAnsi="宋体" w:cs="宋体"/>
      <w:sz w:val="22"/>
      <w:szCs w:val="22"/>
    </w:rPr>
  </w:style>
  <w:style w:type="paragraph" w:customStyle="1" w:styleId="653">
    <w:name w:val="多级符号2"/>
    <w:basedOn w:val="1"/>
    <w:qFormat/>
    <w:uiPriority w:val="0"/>
    <w:pPr>
      <w:spacing w:line="360" w:lineRule="auto"/>
      <w:ind w:left="420" w:hanging="420"/>
      <w:jc w:val="left"/>
    </w:pPr>
    <w:rPr>
      <w:rFonts w:eastAsia="仿宋_GB2312"/>
      <w:sz w:val="24"/>
      <w:szCs w:val="24"/>
    </w:rPr>
  </w:style>
  <w:style w:type="paragraph" w:customStyle="1" w:styleId="654">
    <w:name w:val="xl126"/>
    <w:basedOn w:val="1"/>
    <w:qFormat/>
    <w:uiPriority w:val="0"/>
    <w:pPr>
      <w:widowControl/>
      <w:pBdr>
        <w:lef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655">
    <w:name w:val="font7"/>
    <w:basedOn w:val="1"/>
    <w:qFormat/>
    <w:uiPriority w:val="0"/>
    <w:pPr>
      <w:widowControl/>
      <w:spacing w:before="100" w:beforeAutospacing="1" w:after="100" w:afterAutospacing="1"/>
      <w:jc w:val="left"/>
    </w:pPr>
    <w:rPr>
      <w:sz w:val="20"/>
    </w:rPr>
  </w:style>
  <w:style w:type="paragraph" w:customStyle="1" w:styleId="656">
    <w:name w:val="xl413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57">
    <w:name w:val="xl2425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58">
    <w:name w:val="style2"/>
    <w:basedOn w:val="1"/>
    <w:qFormat/>
    <w:uiPriority w:val="0"/>
    <w:pPr>
      <w:widowControl/>
      <w:spacing w:before="100" w:beforeAutospacing="1" w:after="100" w:afterAutospacing="1"/>
      <w:jc w:val="left"/>
    </w:pPr>
    <w:rPr>
      <w:rFonts w:hint="eastAsia" w:ascii="宋体" w:hAnsi="宋体" w:cs="Arial Unicode MS"/>
      <w:sz w:val="18"/>
      <w:szCs w:val="18"/>
    </w:rPr>
  </w:style>
  <w:style w:type="paragraph" w:customStyle="1" w:styleId="659">
    <w:name w:val="_Style 7"/>
    <w:basedOn w:val="1"/>
    <w:next w:val="1"/>
    <w:qFormat/>
    <w:uiPriority w:val="0"/>
    <w:pPr>
      <w:spacing w:line="240" w:lineRule="atLeast"/>
      <w:ind w:left="420" w:firstLine="420"/>
      <w:jc w:val="left"/>
    </w:pPr>
    <w:rPr>
      <w:sz w:val="20"/>
      <w:szCs w:val="21"/>
    </w:rPr>
  </w:style>
  <w:style w:type="paragraph" w:customStyle="1" w:styleId="660">
    <w:name w:val="xl72"/>
    <w:basedOn w:val="1"/>
    <w:qFormat/>
    <w:uiPriority w:val="99"/>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661">
    <w:name w:val="xl8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62">
    <w:name w:val="纯文本111"/>
    <w:basedOn w:val="1"/>
    <w:qFormat/>
    <w:uiPriority w:val="0"/>
    <w:rPr>
      <w:rFonts w:hint="eastAsia" w:ascii="宋体" w:hAnsi="Courier New" w:eastAsia="楷体_GB2312"/>
      <w:sz w:val="28"/>
    </w:rPr>
  </w:style>
  <w:style w:type="paragraph" w:customStyle="1" w:styleId="663">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664">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20"/>
    </w:rPr>
  </w:style>
  <w:style w:type="paragraph" w:customStyle="1" w:styleId="665">
    <w:name w:val="Char Char Char Char Char Char Char Char Char Char Char Char Char Char Char Char1"/>
    <w:basedOn w:val="1"/>
    <w:qFormat/>
    <w:uiPriority w:val="0"/>
    <w:rPr>
      <w:rFonts w:ascii="Tahoma" w:hAnsi="Tahoma"/>
      <w:sz w:val="24"/>
      <w:szCs w:val="24"/>
    </w:rPr>
  </w:style>
  <w:style w:type="paragraph" w:customStyle="1" w:styleId="666">
    <w:name w:val="4级方案标题"/>
    <w:basedOn w:val="1"/>
    <w:qFormat/>
    <w:uiPriority w:val="0"/>
    <w:pPr>
      <w:spacing w:before="100" w:beforeAutospacing="1" w:after="100" w:afterAutospacing="1" w:line="360" w:lineRule="auto"/>
      <w:outlineLvl w:val="3"/>
    </w:pPr>
    <w:rPr>
      <w:rFonts w:ascii="等线" w:hAnsi="等线"/>
      <w:b/>
      <w:sz w:val="24"/>
      <w:szCs w:val="28"/>
    </w:rPr>
  </w:style>
  <w:style w:type="paragraph" w:customStyle="1" w:styleId="667">
    <w:name w:val="xl242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68">
    <w:name w:val="xl12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669">
    <w:name w:val="TOC 标题1"/>
    <w:basedOn w:val="2"/>
    <w:next w:val="1"/>
    <w:unhideWhenUsed/>
    <w:qFormat/>
    <w:uiPriority w:val="39"/>
    <w:pPr>
      <w:keepLines/>
      <w:widowControl/>
      <w:tabs>
        <w:tab w:val="clear" w:pos="200"/>
      </w:tabs>
      <w:spacing w:before="480" w:line="276" w:lineRule="auto"/>
      <w:jc w:val="left"/>
      <w:outlineLvl w:val="9"/>
    </w:pPr>
    <w:rPr>
      <w:rFonts w:ascii="Cambria" w:hAnsi="Cambria" w:cs="黑体"/>
      <w:bCs/>
      <w:color w:val="365F90"/>
      <w:sz w:val="28"/>
      <w:szCs w:val="28"/>
    </w:rPr>
  </w:style>
  <w:style w:type="paragraph" w:customStyle="1" w:styleId="670">
    <w:name w:val="xl26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sz w:val="20"/>
    </w:rPr>
  </w:style>
  <w:style w:type="paragraph" w:customStyle="1" w:styleId="671">
    <w:name w:val="xl2423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72">
    <w:name w:val="列表内容"/>
    <w:basedOn w:val="1"/>
    <w:next w:val="1"/>
    <w:qFormat/>
    <w:uiPriority w:val="0"/>
    <w:pPr>
      <w:widowControl/>
      <w:tabs>
        <w:tab w:val="left" w:pos="840"/>
      </w:tabs>
      <w:ind w:left="840" w:hanging="420"/>
      <w:jc w:val="left"/>
    </w:pPr>
    <w:rPr>
      <w:sz w:val="18"/>
      <w:szCs w:val="24"/>
    </w:rPr>
  </w:style>
  <w:style w:type="paragraph" w:customStyle="1" w:styleId="673">
    <w:name w:val="xl2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74">
    <w:name w:val="xl27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675">
    <w:name w:val="xl413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676">
    <w:name w:val="xl4133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b/>
      <w:bCs/>
      <w:sz w:val="20"/>
    </w:rPr>
  </w:style>
  <w:style w:type="paragraph" w:customStyle="1" w:styleId="677">
    <w:name w:val="xl276"/>
    <w:basedOn w:val="1"/>
    <w:qFormat/>
    <w:uiPriority w:val="0"/>
    <w:pPr>
      <w:widowControl/>
      <w:pBdr>
        <w:top w:val="single" w:color="auto" w:sz="4" w:space="0"/>
        <w:bottom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678">
    <w:name w:val="标题3"/>
    <w:basedOn w:val="4"/>
    <w:qFormat/>
    <w:uiPriority w:val="0"/>
    <w:pPr>
      <w:keepNext w:val="0"/>
      <w:spacing w:line="360" w:lineRule="auto"/>
      <w:jc w:val="both"/>
    </w:pPr>
    <w:rPr>
      <w:rFonts w:ascii="Times New Roman" w:hAnsi="Times New Roman" w:eastAsia="仿宋_GB2312"/>
      <w:b/>
      <w:bCs/>
      <w:sz w:val="30"/>
      <w:szCs w:val="32"/>
    </w:rPr>
  </w:style>
  <w:style w:type="paragraph" w:customStyle="1" w:styleId="679">
    <w:name w:val="xl95"/>
    <w:basedOn w:val="1"/>
    <w:qFormat/>
    <w:uiPriority w:val="0"/>
    <w:pPr>
      <w:widowControl/>
      <w:pBdr>
        <w:top w:val="single" w:color="969696" w:sz="4" w:space="0"/>
        <w:left w:val="single" w:color="969696" w:sz="4" w:space="0"/>
        <w:bottom w:val="single" w:color="969696" w:sz="4" w:space="0"/>
        <w:right w:val="single" w:color="969696"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680">
    <w:name w:val="样式 正文缩进 + 首行缩进:  2 字符"/>
    <w:basedOn w:val="16"/>
    <w:qFormat/>
    <w:uiPriority w:val="0"/>
    <w:pPr>
      <w:spacing w:line="360" w:lineRule="auto"/>
      <w:ind w:firstLine="200"/>
      <w:jc w:val="left"/>
    </w:pPr>
    <w:rPr>
      <w:rFonts w:ascii="Calibri" w:hAnsi="Calibri" w:eastAsia="楷体_GB2312"/>
      <w:sz w:val="24"/>
      <w:szCs w:val="22"/>
    </w:rPr>
  </w:style>
  <w:style w:type="paragraph" w:customStyle="1" w:styleId="681">
    <w:name w:val="xl2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8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83">
    <w:name w:val="xl251"/>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684">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685">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18"/>
      <w:szCs w:val="18"/>
    </w:rPr>
  </w:style>
  <w:style w:type="paragraph" w:customStyle="1" w:styleId="68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87">
    <w:name w:val="Pa3"/>
    <w:basedOn w:val="1"/>
    <w:next w:val="1"/>
    <w:qFormat/>
    <w:uiPriority w:val="0"/>
    <w:pPr>
      <w:spacing w:line="181" w:lineRule="atLeast"/>
      <w:jc w:val="left"/>
    </w:pPr>
    <w:rPr>
      <w:rFonts w:ascii="微软雅黑." w:eastAsia="微软雅黑."/>
      <w:sz w:val="24"/>
      <w:szCs w:val="24"/>
    </w:rPr>
  </w:style>
  <w:style w:type="paragraph" w:customStyle="1" w:styleId="688">
    <w:name w:val="xl9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FF0000"/>
      <w:sz w:val="22"/>
      <w:szCs w:val="22"/>
    </w:rPr>
  </w:style>
  <w:style w:type="paragraph" w:customStyle="1" w:styleId="689">
    <w:name w:val="xl2424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90">
    <w:name w:val="xl412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91">
    <w:name w:val="样式5"/>
    <w:basedOn w:val="62"/>
    <w:qFormat/>
    <w:uiPriority w:val="0"/>
    <w:rPr>
      <w:rFonts w:ascii="Arial" w:hAnsi="Arial" w:cs="Arial"/>
    </w:rPr>
  </w:style>
  <w:style w:type="paragraph" w:customStyle="1" w:styleId="692">
    <w:name w:val="Char3"/>
    <w:basedOn w:val="1"/>
    <w:qFormat/>
    <w:uiPriority w:val="0"/>
    <w:rPr>
      <w:rFonts w:ascii="Tahoma" w:hAnsi="Tahoma"/>
      <w:sz w:val="24"/>
    </w:rPr>
  </w:style>
  <w:style w:type="paragraph" w:customStyle="1" w:styleId="693">
    <w:name w:val="xl11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94">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695">
    <w:name w:val="xl2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96">
    <w:name w:val="xl4133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97">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98">
    <w:name w:val="Plain Text2"/>
    <w:basedOn w:val="1"/>
    <w:qFormat/>
    <w:uiPriority w:val="0"/>
    <w:rPr>
      <w:rFonts w:ascii="宋体" w:hAnsi="Courier New" w:eastAsia="楷体_GB2312"/>
      <w:sz w:val="28"/>
    </w:rPr>
  </w:style>
  <w:style w:type="paragraph" w:customStyle="1" w:styleId="699">
    <w:name w:val="段落正文 Char Char"/>
    <w:basedOn w:val="1"/>
    <w:qFormat/>
    <w:uiPriority w:val="0"/>
    <w:pPr>
      <w:spacing w:line="360" w:lineRule="auto"/>
      <w:ind w:firstLine="461"/>
    </w:pPr>
    <w:rPr>
      <w:rFonts w:ascii="宋体" w:hAnsi="宋体"/>
      <w:sz w:val="24"/>
      <w:szCs w:val="24"/>
    </w:rPr>
  </w:style>
  <w:style w:type="paragraph" w:customStyle="1" w:styleId="700">
    <w:name w:val="南通方案正文"/>
    <w:basedOn w:val="1"/>
    <w:qFormat/>
    <w:uiPriority w:val="0"/>
    <w:pPr>
      <w:spacing w:line="360" w:lineRule="auto"/>
      <w:ind w:firstLine="480"/>
    </w:pPr>
    <w:rPr>
      <w:sz w:val="24"/>
    </w:rPr>
  </w:style>
  <w:style w:type="paragraph" w:customStyle="1" w:styleId="701">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02">
    <w:name w:val="Pa1"/>
    <w:basedOn w:val="1"/>
    <w:next w:val="1"/>
    <w:qFormat/>
    <w:uiPriority w:val="0"/>
    <w:pPr>
      <w:spacing w:line="241" w:lineRule="atLeast"/>
      <w:jc w:val="left"/>
    </w:pPr>
    <w:rPr>
      <w:rFonts w:ascii="华文细黑" w:eastAsia="华文细黑"/>
      <w:sz w:val="24"/>
      <w:szCs w:val="24"/>
    </w:rPr>
  </w:style>
  <w:style w:type="paragraph" w:customStyle="1" w:styleId="703">
    <w:name w:val="xl242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04">
    <w:name w:val="xl2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05">
    <w:name w:val="Char Char Char Char Char Char Char Char1 Char Char Char Char"/>
    <w:basedOn w:val="20"/>
    <w:qFormat/>
    <w:uiPriority w:val="0"/>
    <w:pPr>
      <w:spacing w:line="360" w:lineRule="auto"/>
    </w:pPr>
    <w:rPr>
      <w:rFonts w:eastAsia="楷体_GB2312"/>
      <w:sz w:val="28"/>
    </w:rPr>
  </w:style>
  <w:style w:type="paragraph" w:customStyle="1" w:styleId="706">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707">
    <w:name w:val="xl2426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32"/>
      <w:szCs w:val="32"/>
    </w:rPr>
  </w:style>
  <w:style w:type="paragraph" w:customStyle="1" w:styleId="708">
    <w:name w:val="xl2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709">
    <w:name w:val="xl278"/>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sz w:val="32"/>
      <w:szCs w:val="32"/>
    </w:rPr>
  </w:style>
  <w:style w:type="paragraph" w:customStyle="1" w:styleId="710">
    <w:name w:val="正文序号 3"/>
    <w:basedOn w:val="1"/>
    <w:qFormat/>
    <w:uiPriority w:val="0"/>
    <w:pPr>
      <w:tabs>
        <w:tab w:val="left" w:pos="1259"/>
      </w:tabs>
      <w:spacing w:before="60"/>
      <w:ind w:left="1259" w:hanging="420"/>
    </w:pPr>
    <w:rPr>
      <w:szCs w:val="24"/>
    </w:rPr>
  </w:style>
  <w:style w:type="paragraph" w:customStyle="1" w:styleId="711">
    <w:name w:val="xl413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12">
    <w:name w:val="xl2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13">
    <w:name w:val="xl2425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14">
    <w:name w:val="xl2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15">
    <w:name w:val="xl75"/>
    <w:basedOn w:val="1"/>
    <w:qFormat/>
    <w:uiPriority w:val="0"/>
    <w:pPr>
      <w:widowControl/>
      <w:spacing w:before="100" w:beforeAutospacing="1" w:after="100" w:afterAutospacing="1"/>
      <w:jc w:val="left"/>
    </w:pPr>
    <w:rPr>
      <w:rFonts w:ascii="宋体" w:hAnsi="宋体" w:cs="宋体"/>
      <w:sz w:val="24"/>
      <w:szCs w:val="24"/>
    </w:rPr>
  </w:style>
  <w:style w:type="paragraph" w:customStyle="1" w:styleId="716">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717">
    <w:name w:val="xl41298"/>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718">
    <w:name w:val="Char Char2 Char Char"/>
    <w:basedOn w:val="1"/>
    <w:qFormat/>
    <w:uiPriority w:val="0"/>
    <w:rPr>
      <w:rFonts w:ascii="Tahoma" w:hAnsi="Tahoma"/>
      <w:sz w:val="24"/>
    </w:rPr>
  </w:style>
  <w:style w:type="paragraph" w:customStyle="1" w:styleId="719">
    <w:name w:val="xl413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20">
    <w:name w:val="默认段落字体 Para Char Char Char Char"/>
    <w:basedOn w:val="1"/>
    <w:qFormat/>
    <w:uiPriority w:val="0"/>
    <w:rPr>
      <w:sz w:val="20"/>
      <w:szCs w:val="24"/>
    </w:rPr>
  </w:style>
  <w:style w:type="paragraph" w:customStyle="1" w:styleId="721">
    <w:name w:val="xl41301"/>
    <w:basedOn w:val="1"/>
    <w:qFormat/>
    <w:uiPriority w:val="0"/>
    <w:pPr>
      <w:widowControl/>
      <w:pBdr>
        <w:top w:val="single" w:color="auto" w:sz="4" w:space="0"/>
        <w:left w:val="single" w:color="auto" w:sz="4" w:space="0"/>
        <w:bottom w:val="single" w:color="auto" w:sz="4" w:space="0"/>
        <w:right w:val="single" w:color="auto" w:sz="4" w:space="0"/>
      </w:pBdr>
      <w:shd w:val="clear" w:color="000000" w:fill="B6DDE8"/>
      <w:spacing w:before="100" w:beforeAutospacing="1" w:after="100" w:afterAutospacing="1"/>
      <w:jc w:val="center"/>
    </w:pPr>
    <w:rPr>
      <w:rFonts w:ascii="宋体" w:hAnsi="宋体" w:cs="宋体"/>
      <w:b/>
      <w:bCs/>
      <w:sz w:val="24"/>
      <w:szCs w:val="24"/>
    </w:rPr>
  </w:style>
  <w:style w:type="paragraph" w:customStyle="1" w:styleId="722">
    <w:name w:val="纯文本21"/>
    <w:basedOn w:val="1"/>
    <w:qFormat/>
    <w:uiPriority w:val="0"/>
    <w:rPr>
      <w:rFonts w:ascii="宋体" w:hAnsi="Courier New" w:eastAsia="楷体_GB2312"/>
      <w:sz w:val="26"/>
    </w:rPr>
  </w:style>
  <w:style w:type="paragraph" w:customStyle="1" w:styleId="723">
    <w:name w:val="Bullet"/>
    <w:basedOn w:val="1"/>
    <w:qFormat/>
    <w:uiPriority w:val="0"/>
    <w:pPr>
      <w:tabs>
        <w:tab w:val="left" w:pos="420"/>
        <w:tab w:val="left" w:pos="2552"/>
      </w:tabs>
      <w:spacing w:before="60" w:after="60"/>
      <w:ind w:left="420" w:right="709" w:hanging="420"/>
    </w:pPr>
    <w:rPr>
      <w:rFonts w:eastAsia="2OcuAe"/>
      <w:spacing w:val="2"/>
      <w:sz w:val="20"/>
      <w:lang w:eastAsia="zh-TW"/>
    </w:rPr>
  </w:style>
  <w:style w:type="paragraph" w:customStyle="1" w:styleId="724">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725">
    <w:name w:val="Char Char1 Char"/>
    <w:basedOn w:val="20"/>
    <w:qFormat/>
    <w:uiPriority w:val="0"/>
    <w:pPr>
      <w:spacing w:line="360" w:lineRule="auto"/>
    </w:pPr>
    <w:rPr>
      <w:rFonts w:ascii="Tahoma" w:hAnsi="Tahoma"/>
      <w:sz w:val="24"/>
      <w:szCs w:val="24"/>
    </w:rPr>
  </w:style>
  <w:style w:type="paragraph" w:customStyle="1" w:styleId="726">
    <w:name w:val="xl41294"/>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727">
    <w:name w:val="xl24226"/>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pPr>
    <w:rPr>
      <w:rFonts w:ascii="宋体" w:hAnsi="宋体" w:cs="宋体"/>
      <w:b/>
      <w:bCs/>
      <w:sz w:val="20"/>
    </w:rPr>
  </w:style>
  <w:style w:type="paragraph" w:customStyle="1" w:styleId="728">
    <w:name w:val="Char Char1 Char Char Char Char Char Char Char1"/>
    <w:basedOn w:val="1"/>
    <w:qFormat/>
    <w:uiPriority w:val="0"/>
    <w:rPr>
      <w:rFonts w:ascii="Tahoma" w:hAnsi="Tahoma"/>
      <w:sz w:val="24"/>
    </w:rPr>
  </w:style>
  <w:style w:type="paragraph" w:customStyle="1" w:styleId="729">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730">
    <w:name w:val="xl41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731">
    <w:name w:val="xl24262"/>
    <w:basedOn w:val="1"/>
    <w:qFormat/>
    <w:uiPriority w:val="0"/>
    <w:pPr>
      <w:widowControl/>
      <w:pBdr>
        <w:right w:val="single" w:color="auto" w:sz="4" w:space="0"/>
      </w:pBdr>
      <w:spacing w:before="100" w:beforeAutospacing="1" w:after="100" w:afterAutospacing="1"/>
      <w:jc w:val="center"/>
    </w:pPr>
    <w:rPr>
      <w:rFonts w:ascii="宋体" w:hAnsi="宋体" w:cs="宋体"/>
      <w:sz w:val="20"/>
    </w:rPr>
  </w:style>
  <w:style w:type="paragraph" w:customStyle="1" w:styleId="732">
    <w:name w:val="xl218"/>
    <w:basedOn w:val="1"/>
    <w:qFormat/>
    <w:uiPriority w:val="0"/>
    <w:pPr>
      <w:widowControl/>
      <w:spacing w:before="100" w:beforeAutospacing="1" w:after="100" w:afterAutospacing="1"/>
      <w:jc w:val="left"/>
    </w:pPr>
    <w:rPr>
      <w:rFonts w:ascii="宋体" w:hAnsi="宋体" w:cs="宋体"/>
      <w:sz w:val="24"/>
      <w:szCs w:val="24"/>
    </w:rPr>
  </w:style>
  <w:style w:type="paragraph" w:customStyle="1" w:styleId="733">
    <w:name w:val="xl10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34">
    <w:name w:val="xl2425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735">
    <w:name w:val="xl2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36">
    <w:name w:val="xl2426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32"/>
      <w:szCs w:val="32"/>
    </w:rPr>
  </w:style>
  <w:style w:type="paragraph" w:customStyle="1" w:styleId="737">
    <w:name w:val="xl2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38">
    <w:name w:val="xl2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39">
    <w:name w:val="reader-word-layer reader-word-s7-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740">
    <w:name w:val="xl413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41">
    <w:name w:val="xl41300"/>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742">
    <w:name w:val="Char Char Char1"/>
    <w:basedOn w:val="1"/>
    <w:qFormat/>
    <w:uiPriority w:val="0"/>
    <w:pPr>
      <w:tabs>
        <w:tab w:val="left" w:pos="375"/>
        <w:tab w:val="left" w:pos="1545"/>
      </w:tabs>
      <w:ind w:left="375" w:hanging="375"/>
    </w:pPr>
  </w:style>
  <w:style w:type="paragraph" w:customStyle="1" w:styleId="743">
    <w:name w:val="Pa8"/>
    <w:basedOn w:val="1"/>
    <w:next w:val="1"/>
    <w:qFormat/>
    <w:uiPriority w:val="0"/>
    <w:pPr>
      <w:spacing w:line="481" w:lineRule="atLeast"/>
      <w:jc w:val="left"/>
    </w:pPr>
    <w:rPr>
      <w:rFonts w:ascii="微软雅黑." w:eastAsia="微软雅黑."/>
      <w:sz w:val="24"/>
      <w:szCs w:val="24"/>
    </w:rPr>
  </w:style>
  <w:style w:type="paragraph" w:customStyle="1" w:styleId="744">
    <w:name w:val="Char Char Char Char1"/>
    <w:basedOn w:val="20"/>
    <w:qFormat/>
    <w:uiPriority w:val="0"/>
    <w:pPr>
      <w:spacing w:line="360" w:lineRule="auto"/>
    </w:pPr>
    <w:rPr>
      <w:rFonts w:ascii="Tahoma" w:hAnsi="Tahoma"/>
      <w:sz w:val="24"/>
      <w:szCs w:val="24"/>
    </w:rPr>
  </w:style>
  <w:style w:type="paragraph" w:customStyle="1" w:styleId="745">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46">
    <w:name w:val="_Style 12"/>
    <w:basedOn w:val="20"/>
    <w:qFormat/>
    <w:uiPriority w:val="0"/>
    <w:pPr>
      <w:widowControl/>
      <w:spacing w:line="360" w:lineRule="auto"/>
      <w:jc w:val="left"/>
    </w:pPr>
    <w:rPr>
      <w:sz w:val="24"/>
      <w:szCs w:val="24"/>
    </w:rPr>
  </w:style>
  <w:style w:type="paragraph" w:customStyle="1" w:styleId="747">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748">
    <w:name w:val="xl41336"/>
    <w:basedOn w:val="1"/>
    <w:qFormat/>
    <w:uiPriority w:val="0"/>
    <w:pPr>
      <w:widowControl/>
      <w:pBdr>
        <w:left w:val="single" w:color="auto" w:sz="4" w:space="0"/>
        <w:bottom w:val="single" w:color="auto" w:sz="6" w:space="0"/>
        <w:right w:val="single" w:color="auto" w:sz="4" w:space="0"/>
      </w:pBdr>
      <w:spacing w:before="100" w:beforeAutospacing="1" w:after="100" w:afterAutospacing="1"/>
      <w:jc w:val="left"/>
    </w:pPr>
    <w:rPr>
      <w:rFonts w:ascii="宋体" w:hAnsi="宋体" w:cs="宋体"/>
      <w:sz w:val="20"/>
    </w:rPr>
  </w:style>
  <w:style w:type="paragraph" w:customStyle="1" w:styleId="749">
    <w:name w:val="xl2426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sz w:val="20"/>
    </w:rPr>
  </w:style>
  <w:style w:type="paragraph" w:customStyle="1" w:styleId="750">
    <w:name w:val="xl4133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751">
    <w:name w:val="xl242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52">
    <w:name w:val="Table Text"/>
    <w:basedOn w:val="1"/>
    <w:qFormat/>
    <w:uiPriority w:val="0"/>
    <w:pPr>
      <w:widowControl/>
      <w:tabs>
        <w:tab w:val="decimal" w:pos="0"/>
      </w:tabs>
      <w:jc w:val="left"/>
    </w:pPr>
    <w:rPr>
      <w:rFonts w:eastAsia="Times New Roman"/>
      <w:sz w:val="20"/>
      <w:lang w:eastAsia="en-US"/>
    </w:rPr>
  </w:style>
  <w:style w:type="paragraph" w:customStyle="1" w:styleId="753">
    <w:name w:val="xl413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754">
    <w:name w:val="xl413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55">
    <w:name w:val="xl41296"/>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756">
    <w:name w:val="xl2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757">
    <w:name w:val="正文序号 1"/>
    <w:basedOn w:val="1"/>
    <w:qFormat/>
    <w:uiPriority w:val="0"/>
    <w:pPr>
      <w:tabs>
        <w:tab w:val="left" w:pos="839"/>
      </w:tabs>
      <w:spacing w:before="60"/>
      <w:ind w:left="839" w:hanging="419"/>
    </w:pPr>
    <w:rPr>
      <w:szCs w:val="24"/>
    </w:rPr>
  </w:style>
  <w:style w:type="paragraph" w:customStyle="1" w:styleId="758">
    <w:name w:val="xl2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59">
    <w:name w:val="xl7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60">
    <w:name w:val="样式 样式 标题 2 + (中文) 宋体 小四 非加粗 段前: 0 磅 段后: 0 磅 行距: 单倍行距 + 行距: 固定值 2..."/>
    <w:basedOn w:val="1"/>
    <w:qFormat/>
    <w:uiPriority w:val="0"/>
    <w:pPr>
      <w:keepNext/>
      <w:keepLines/>
      <w:tabs>
        <w:tab w:val="left" w:pos="780"/>
      </w:tabs>
      <w:spacing w:before="120" w:after="120" w:line="400" w:lineRule="atLeast"/>
      <w:ind w:left="360" w:hanging="360"/>
      <w:outlineLvl w:val="1"/>
    </w:pPr>
    <w:rPr>
      <w:rFonts w:ascii="Arial" w:hAnsi="Arial"/>
      <w:b/>
      <w:sz w:val="28"/>
      <w:szCs w:val="30"/>
    </w:rPr>
  </w:style>
  <w:style w:type="paragraph" w:customStyle="1" w:styleId="761">
    <w:name w:val="样式 表格正文 + 两端对齐"/>
    <w:basedOn w:val="1"/>
    <w:qFormat/>
    <w:uiPriority w:val="0"/>
    <w:pPr>
      <w:spacing w:line="300" w:lineRule="auto"/>
    </w:pPr>
    <w:rPr>
      <w:sz w:val="24"/>
    </w:rPr>
  </w:style>
  <w:style w:type="paragraph" w:customStyle="1" w:styleId="762">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763">
    <w:name w:val="样式 标题 3 + 小四 非加粗 段前: 0 磅 段后: 0 磅 行距: 单倍行距"/>
    <w:basedOn w:val="4"/>
    <w:qFormat/>
    <w:uiPriority w:val="0"/>
    <w:pPr>
      <w:keepNext w:val="0"/>
      <w:tabs>
        <w:tab w:val="left" w:pos="240"/>
      </w:tabs>
      <w:spacing w:before="120" w:after="120"/>
      <w:ind w:left="240" w:hanging="240"/>
      <w:jc w:val="left"/>
    </w:pPr>
    <w:rPr>
      <w:rFonts w:ascii="Times New Roman" w:hAnsi="Times New Roman"/>
      <w:color w:val="000000"/>
      <w:sz w:val="24"/>
    </w:rPr>
  </w:style>
  <w:style w:type="paragraph" w:customStyle="1" w:styleId="764">
    <w:name w:val="_Style 610"/>
    <w:basedOn w:val="2"/>
    <w:next w:val="1"/>
    <w:qFormat/>
    <w:uiPriority w:val="39"/>
    <w:pPr>
      <w:keepLines/>
      <w:widowControl/>
      <w:tabs>
        <w:tab w:val="clear" w:pos="200"/>
      </w:tabs>
      <w:spacing w:before="480" w:line="276" w:lineRule="auto"/>
      <w:jc w:val="left"/>
      <w:outlineLvl w:val="9"/>
    </w:pPr>
    <w:rPr>
      <w:rFonts w:ascii="Cambria" w:hAnsi="Cambria"/>
      <w:bCs/>
      <w:color w:val="365F91"/>
      <w:sz w:val="28"/>
      <w:szCs w:val="28"/>
    </w:rPr>
  </w:style>
  <w:style w:type="paragraph" w:customStyle="1" w:styleId="765">
    <w:name w:val="xl24260"/>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66">
    <w:name w:val="xl4131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67">
    <w:name w:val="Andy_一级"/>
    <w:basedOn w:val="345"/>
    <w:qFormat/>
    <w:uiPriority w:val="0"/>
    <w:pPr>
      <w:keepNext/>
      <w:tabs>
        <w:tab w:val="left" w:pos="360"/>
      </w:tabs>
      <w:ind w:left="360" w:hanging="360"/>
    </w:pPr>
    <w:rPr>
      <w:rFonts w:ascii="Times New Roman" w:hAnsi="Times New Roman"/>
      <w:b/>
      <w:szCs w:val="22"/>
    </w:rPr>
  </w:style>
  <w:style w:type="paragraph" w:customStyle="1" w:styleId="768">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769">
    <w:name w:val="正文序号 2"/>
    <w:basedOn w:val="1"/>
    <w:qFormat/>
    <w:uiPriority w:val="0"/>
    <w:pPr>
      <w:tabs>
        <w:tab w:val="left" w:pos="1049"/>
      </w:tabs>
      <w:spacing w:before="60"/>
      <w:ind w:left="1049" w:hanging="420"/>
    </w:pPr>
    <w:rPr>
      <w:szCs w:val="24"/>
    </w:rPr>
  </w:style>
  <w:style w:type="paragraph" w:customStyle="1" w:styleId="770">
    <w:name w:val="xl2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71">
    <w:name w:val="xl2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772">
    <w:name w:val="xl413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7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74">
    <w:name w:val="样式1"/>
    <w:basedOn w:val="1"/>
    <w:qFormat/>
    <w:uiPriority w:val="0"/>
    <w:pPr>
      <w:tabs>
        <w:tab w:val="left" w:pos="709"/>
      </w:tabs>
      <w:ind w:left="709" w:hanging="709"/>
    </w:pPr>
    <w:rPr>
      <w:rFonts w:ascii="宋体" w:hAnsi="宋体"/>
      <w:szCs w:val="21"/>
    </w:rPr>
  </w:style>
  <w:style w:type="paragraph" w:customStyle="1" w:styleId="775">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776">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777">
    <w:name w:val="xl242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32"/>
      <w:szCs w:val="32"/>
    </w:rPr>
  </w:style>
  <w:style w:type="paragraph" w:customStyle="1" w:styleId="778">
    <w:name w:val="正文首行缩进两字符"/>
    <w:basedOn w:val="1"/>
    <w:qFormat/>
    <w:uiPriority w:val="0"/>
    <w:pPr>
      <w:spacing w:line="360" w:lineRule="auto"/>
      <w:ind w:firstLine="200"/>
    </w:pPr>
    <w:rPr>
      <w:szCs w:val="24"/>
    </w:rPr>
  </w:style>
  <w:style w:type="paragraph" w:customStyle="1" w:styleId="779">
    <w:name w:val="xl242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780">
    <w:name w:val="正文 New New New New"/>
    <w:qFormat/>
    <w:uiPriority w:val="0"/>
    <w:pPr>
      <w:widowControl w:val="0"/>
      <w:jc w:val="both"/>
    </w:pPr>
    <w:rPr>
      <w:rFonts w:hint="default" w:ascii="Times New Roman" w:hAnsi="Times New Roman" w:eastAsia="Arial Unicode MS" w:cs="Arial Unicode MS"/>
      <w:color w:val="000000"/>
      <w:lang w:val="en-US" w:eastAsia="zh-CN" w:bidi="ar-SA"/>
    </w:rPr>
  </w:style>
  <w:style w:type="paragraph" w:customStyle="1" w:styleId="781">
    <w:name w:val="缩正文"/>
    <w:basedOn w:val="65"/>
    <w:qFormat/>
    <w:uiPriority w:val="0"/>
    <w:pPr>
      <w:ind w:left="2268" w:firstLine="0"/>
    </w:pPr>
    <w:rPr>
      <w:szCs w:val="20"/>
    </w:rPr>
  </w:style>
  <w:style w:type="paragraph" w:customStyle="1" w:styleId="782">
    <w:name w:val="xl2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83">
    <w:name w:val="tabletext"/>
    <w:basedOn w:val="1"/>
    <w:qFormat/>
    <w:uiPriority w:val="0"/>
    <w:pPr>
      <w:widowControl/>
      <w:spacing w:before="100" w:beforeAutospacing="1" w:after="100" w:afterAutospacing="1"/>
      <w:jc w:val="left"/>
    </w:pPr>
    <w:rPr>
      <w:rFonts w:ascii="宋体" w:hAnsi="宋体" w:cs="宋体"/>
      <w:sz w:val="24"/>
      <w:szCs w:val="24"/>
    </w:rPr>
  </w:style>
  <w:style w:type="paragraph" w:customStyle="1" w:styleId="784">
    <w:name w:val="xl277"/>
    <w:basedOn w:val="1"/>
    <w:qFormat/>
    <w:uiPriority w:val="0"/>
    <w:pPr>
      <w:widowControl/>
      <w:pBdr>
        <w:top w:val="single" w:color="auto" w:sz="4" w:space="0"/>
        <w:bottom w:val="single" w:color="auto" w:sz="4" w:space="0"/>
        <w:right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785">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786">
    <w:name w:val="xl413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character" w:customStyle="1" w:styleId="787">
    <w:name w:val="正文文本缩进 字符2"/>
    <w:qFormat/>
    <w:uiPriority w:val="0"/>
    <w:rPr>
      <w:rFonts w:ascii="宋体" w:eastAsia="宋体"/>
      <w:sz w:val="28"/>
      <w:lang w:val="en-US" w:eastAsia="zh-CN" w:bidi="ar-SA"/>
    </w:rPr>
  </w:style>
  <w:style w:type="character" w:customStyle="1" w:styleId="788">
    <w:name w:val="正文缩进 Char2"/>
    <w:qFormat/>
    <w:uiPriority w:val="0"/>
    <w:rPr>
      <w:sz w:val="21"/>
    </w:rPr>
  </w:style>
  <w:style w:type="paragraph" w:customStyle="1" w:styleId="789">
    <w:name w:val="修订2"/>
    <w:hidden/>
    <w:semiHidden/>
    <w:qFormat/>
    <w:uiPriority w:val="99"/>
    <w:rPr>
      <w:rFonts w:hint="default" w:ascii="Times New Roman" w:hAnsi="Times New Roman" w:eastAsia="宋体" w:cs="Times New Roman"/>
      <w:sz w:val="21"/>
      <w:lang w:val="en-US" w:eastAsia="zh-CN" w:bidi="ar-SA"/>
    </w:rPr>
  </w:style>
  <w:style w:type="character" w:customStyle="1" w:styleId="790">
    <w:name w:val="普通(网站) 字符"/>
    <w:link w:val="60"/>
    <w:qFormat/>
    <w:uiPriority w:val="99"/>
    <w:rPr>
      <w:rFonts w:ascii="宋体" w:hAnsi="宋体" w:eastAsia="楷体_GB2312" w:cs="宋体"/>
      <w:sz w:val="24"/>
    </w:rPr>
  </w:style>
  <w:style w:type="character" w:customStyle="1" w:styleId="791">
    <w:name w:val="4级 Char"/>
    <w:link w:val="792"/>
    <w:qFormat/>
    <w:uiPriority w:val="0"/>
    <w:rPr>
      <w:rFonts w:ascii="Cambria" w:hAnsi="Cambria" w:eastAsia="黑体"/>
      <w:b/>
      <w:caps/>
      <w:spacing w:val="10"/>
      <w:sz w:val="30"/>
      <w:szCs w:val="22"/>
      <w:lang w:eastAsia="en-US" w:bidi="en-US"/>
    </w:rPr>
  </w:style>
  <w:style w:type="paragraph" w:customStyle="1" w:styleId="792">
    <w:name w:val="4级"/>
    <w:basedOn w:val="5"/>
    <w:next w:val="1"/>
    <w:link w:val="791"/>
    <w:qFormat/>
    <w:uiPriority w:val="0"/>
    <w:pPr>
      <w:keepNext w:val="0"/>
      <w:widowControl/>
      <w:spacing w:after="120" w:line="240" w:lineRule="atLeast"/>
      <w:jc w:val="left"/>
    </w:pPr>
    <w:rPr>
      <w:rFonts w:ascii="Cambria" w:hAnsi="Cambria" w:eastAsia="黑体"/>
      <w:bCs w:val="0"/>
      <w:caps/>
      <w:spacing w:val="10"/>
      <w:sz w:val="30"/>
      <w:szCs w:val="22"/>
      <w:lang w:eastAsia="en-US" w:bidi="en-US"/>
    </w:rPr>
  </w:style>
  <w:style w:type="paragraph" w:customStyle="1" w:styleId="793">
    <w:name w:val="首行缩进"/>
    <w:basedOn w:val="1"/>
    <w:qFormat/>
    <w:uiPriority w:val="0"/>
    <w:pPr>
      <w:ind w:firstLine="480"/>
    </w:pPr>
    <w:rPr>
      <w:lang w:val="zh-CN"/>
    </w:rPr>
  </w:style>
  <w:style w:type="character" w:customStyle="1" w:styleId="794">
    <w:name w:val="font71"/>
    <w:basedOn w:val="68"/>
    <w:qFormat/>
    <w:uiPriority w:val="0"/>
    <w:rPr>
      <w:rFonts w:hint="eastAsia" w:ascii="宋体" w:hAnsi="宋体" w:eastAsia="宋体" w:cs="宋体"/>
      <w:b/>
      <w:bCs/>
      <w:color w:val="000000"/>
      <w:sz w:val="20"/>
      <w:szCs w:val="20"/>
      <w:u w:val="none"/>
    </w:rPr>
  </w:style>
  <w:style w:type="paragraph" w:customStyle="1" w:styleId="795">
    <w:name w:val="__正文"/>
    <w:qFormat/>
    <w:uiPriority w:val="0"/>
    <w:pPr>
      <w:spacing w:line="360" w:lineRule="auto"/>
      <w:ind w:firstLine="200"/>
    </w:pPr>
    <w:rPr>
      <w:rFonts w:hint="default" w:ascii="Calibri" w:hAnsi="Calibri" w:eastAsia="宋体" w:cs="Times New Roman"/>
      <w:sz w:val="24"/>
      <w:szCs w:val="21"/>
      <w:lang w:val="en-US" w:eastAsia="zh-CN" w:bidi="ar-SA"/>
    </w:rPr>
  </w:style>
  <w:style w:type="paragraph" w:customStyle="1" w:styleId="796">
    <w:name w:val="修订3"/>
    <w:hidden/>
    <w:semiHidden/>
    <w:qFormat/>
    <w:uiPriority w:val="99"/>
    <w:rPr>
      <w:rFonts w:hint="default" w:ascii="Times New Roman" w:hAnsi="Times New Roman" w:eastAsia="宋体" w:cs="Times New Roman"/>
      <w:sz w:val="21"/>
      <w:lang w:val="en-US" w:eastAsia="zh-CN" w:bidi="ar-SA"/>
    </w:rPr>
  </w:style>
  <w:style w:type="paragraph" w:customStyle="1" w:styleId="797">
    <w:name w:val="纯文本10"/>
    <w:basedOn w:val="1"/>
    <w:qFormat/>
    <w:uiPriority w:val="0"/>
    <w:rPr>
      <w:rFonts w:ascii="宋体" w:hAnsi="Courier New" w:eastAsia="楷体_GB2312"/>
      <w:sz w:val="28"/>
      <w:lang w:val="zh-CN"/>
    </w:rPr>
  </w:style>
  <w:style w:type="paragraph" w:customStyle="1" w:styleId="798">
    <w:name w:val="Body text|2"/>
    <w:basedOn w:val="1"/>
    <w:qFormat/>
    <w:uiPriority w:val="0"/>
    <w:pPr>
      <w:spacing w:line="480" w:lineRule="auto"/>
      <w:ind w:firstLine="400"/>
    </w:pPr>
    <w:rPr>
      <w:rFonts w:ascii="宋体" w:hAnsi="宋体" w:cs="宋体"/>
      <w:sz w:val="22"/>
      <w:szCs w:val="22"/>
      <w:lang w:val="zh-TW" w:eastAsia="zh-TW" w:bidi="zh-TW"/>
    </w:rPr>
  </w:style>
  <w:style w:type="paragraph" w:customStyle="1" w:styleId="799">
    <w:name w:val="Char12"/>
    <w:basedOn w:val="1"/>
    <w:qFormat/>
    <w:uiPriority w:val="0"/>
    <w:pPr>
      <w:numPr>
        <w:ilvl w:val="1"/>
        <w:numId w:val="2"/>
      </w:numPr>
      <w:ind w:left="0"/>
      <w:jc w:val="left"/>
    </w:pPr>
    <w:rPr>
      <w:rFonts w:ascii="仿宋_GB2312" w:eastAsia="仿宋_GB2312"/>
      <w:b/>
      <w:sz w:val="32"/>
      <w:szCs w:val="32"/>
    </w:rPr>
  </w:style>
  <w:style w:type="paragraph" w:customStyle="1" w:styleId="800">
    <w:name w:val="正文空2格  1."/>
    <w:basedOn w:val="1"/>
    <w:qFormat/>
    <w:uiPriority w:val="0"/>
    <w:pPr>
      <w:spacing w:line="360" w:lineRule="auto"/>
      <w:ind w:firstLine="480"/>
    </w:pPr>
    <w:rPr>
      <w:rFonts w:hint="eastAsia" w:ascii="宋体" w:eastAsia="仿宋"/>
      <w:sz w:val="28"/>
    </w:rPr>
  </w:style>
  <w:style w:type="paragraph" w:customStyle="1" w:styleId="801">
    <w:name w:val="Plain Text"/>
    <w:basedOn w:val="1"/>
    <w:qFormat/>
    <w:uiPriority w:val="0"/>
    <w:rPr>
      <w:rFonts w:hAnsi="Courier New" w:eastAsia="楷体_GB2312"/>
      <w:sz w:val="26"/>
      <w:szCs w:val="20"/>
    </w:rPr>
  </w:style>
  <w:style w:type="character" w:customStyle="1" w:styleId="802">
    <w:name w:val="NormalCharacter"/>
    <w:qFormat/>
    <w:uiPriority w:val="0"/>
  </w:style>
  <w:style w:type="paragraph" w:customStyle="1" w:styleId="803">
    <w:name w:val="标题 11"/>
    <w:basedOn w:val="1"/>
    <w:next w:val="1"/>
    <w:qFormat/>
    <w:uiPriority w:val="0"/>
    <w:pPr>
      <w:keepNext/>
      <w:keepLines/>
      <w:spacing w:before="340" w:after="330" w:line="578" w:lineRule="auto"/>
      <w:outlineLvl w:val="0"/>
    </w:pPr>
    <w:rPr>
      <w:b/>
      <w:bCs/>
      <w:sz w:val="44"/>
      <w:szCs w:val="44"/>
    </w:rPr>
  </w:style>
  <w:style w:type="paragraph" w:customStyle="1" w:styleId="804">
    <w:name w:val="正文文本缩进1"/>
    <w:basedOn w:val="1"/>
    <w:next w:val="1"/>
    <w:qFormat/>
    <w:uiPriority w:val="0"/>
    <w:pPr>
      <w:spacing w:line="360" w:lineRule="auto"/>
      <w:ind w:firstLine="425"/>
    </w:pPr>
    <w:rPr>
      <w:sz w:val="24"/>
    </w:rPr>
  </w:style>
  <w:style w:type="paragraph" w:customStyle="1" w:styleId="805">
    <w:name w:val="列出段落111"/>
    <w:basedOn w:val="1"/>
    <w:qFormat/>
    <w:uiPriority w:val="0"/>
    <w:pPr>
      <w:spacing w:after="0" w:line="360" w:lineRule="auto"/>
      <w:ind w:firstLine="420"/>
      <w:jc w:val="both"/>
    </w:pPr>
    <w:rPr>
      <w:rFonts w:ascii="Calibri" w:hAnsi="Calibri" w:eastAsia="宋体" w:cs="Times New Roman"/>
      <w:sz w:val="21"/>
      <w:szCs w:val="22"/>
    </w:rPr>
  </w:style>
  <w:style w:type="paragraph" w:customStyle="1" w:styleId="80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807">
    <w:name w:val="正文文本，"/>
    <w:basedOn w:val="1"/>
    <w:qFormat/>
    <w:uiPriority w:val="0"/>
    <w:pPr>
      <w:spacing w:line="360" w:lineRule="auto"/>
      <w:ind w:firstLine="480"/>
    </w:pPr>
    <w:rPr>
      <w:rFonts w:ascii="华文中宋" w:hAnsi="华文中宋" w:eastAsia="华文中宋" w:cs="宋体"/>
      <w:sz w:val="24"/>
      <w:szCs w:val="24"/>
    </w:rPr>
  </w:style>
  <w:style w:type="table" w:customStyle="1" w:styleId="808">
    <w:name w:val="Table Normal"/>
    <w:semiHidden/>
    <w:unhideWhenUsed/>
    <w:qFormat/>
    <w:uiPriority w:val="0"/>
    <w:tblPr>
      <w:tblCellMar>
        <w:top w:w="0" w:type="dxa"/>
        <w:left w:w="0" w:type="dxa"/>
        <w:bottom w:w="0" w:type="dxa"/>
        <w:right w:w="0" w:type="dxa"/>
      </w:tblCellMar>
    </w:tblPr>
  </w:style>
  <w:style w:type="paragraph" w:customStyle="1" w:styleId="809">
    <w:name w:val="二级条标题"/>
    <w:basedOn w:val="810"/>
    <w:next w:val="227"/>
    <w:qFormat/>
    <w:uiPriority w:val="0"/>
    <w:pPr>
      <w:numPr>
        <w:ilvl w:val="2"/>
      </w:numPr>
      <w:tabs>
        <w:tab w:val="left" w:pos="2127"/>
      </w:tabs>
      <w:spacing w:before="50" w:after="50"/>
      <w:outlineLvl w:val="2"/>
    </w:pPr>
  </w:style>
  <w:style w:type="paragraph" w:customStyle="1" w:styleId="810">
    <w:name w:val="一级条标题"/>
    <w:next w:val="227"/>
    <w:qFormat/>
    <w:uiPriority w:val="0"/>
    <w:pPr>
      <w:numPr>
        <w:ilvl w:val="1"/>
        <w:numId w:val="3"/>
      </w:numPr>
      <w:tabs>
        <w:tab w:val="left" w:pos="2127"/>
      </w:tabs>
      <w:spacing w:beforeLines="50" w:afterLines="50"/>
      <w:outlineLvl w:val="1"/>
    </w:pPr>
    <w:rPr>
      <w:rFonts w:ascii="黑体" w:hAnsi="黑体" w:eastAsia="黑体" w:cs="Times New Roman"/>
      <w:sz w:val="21"/>
      <w:szCs w:val="21"/>
      <w:lang w:val="en-US" w:eastAsia="zh-CN" w:bidi="ar-SA"/>
    </w:rPr>
  </w:style>
  <w:style w:type="paragraph" w:customStyle="1" w:styleId="811">
    <w:name w:val="正文1"/>
    <w:basedOn w:val="1"/>
    <w:next w:val="1"/>
    <w:qFormat/>
    <w:uiPriority w:val="0"/>
    <w:pPr>
      <w:tabs>
        <w:tab w:val="left" w:pos="480"/>
      </w:tabs>
      <w:spacing w:line="500" w:lineRule="exact"/>
      <w:ind w:left="359" w:hanging="359"/>
    </w:pPr>
    <w:rPr>
      <w:rFonts w:ascii="黑体" w:hAnsi="宋体" w:eastAsia="宋体"/>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64</Pages>
  <Words>20975</Words>
  <Characters>22683</Characters>
  <TotalTime>71</TotalTime>
  <ScaleCrop>false</ScaleCrop>
  <LinksUpToDate>false</LinksUpToDate>
  <CharactersWithSpaces>23223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2023-03-23T08:26:00Z</dcterms:created>
  <dc:creator>user</dc:creator>
  <cp:lastModifiedBy>86180</cp:lastModifiedBy>
  <dcterms:modified xsi:type="dcterms:W3CDTF">2025-11-06T08:29:03Z</dcterms:modified>
  <dc:title>招  标  文  件</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A7A4B260C0F34E109BB231B8952E8448_13</vt:lpwstr>
  </property>
  <property fmtid="{D5CDD505-2E9C-101B-9397-08002B2CF9AE}" pid="4" name="KSOTemplateDocerSaveRecord">
    <vt:lpwstr>eyJoZGlkIjoiMjI1MjE5ODk3MzdiOTNjM2I0MDA4MzhkYzNiN2I5YTgiLCJ1c2VySWQiOiI3NDgxODYyOTIifQ==</vt:lpwstr>
  </property>
</Properties>
</file>